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76B0D" w:rsidRDefault="00DA24D3" w:rsidP="00837C74">
      <w:pPr>
        <w:rPr>
          <w:rFonts w:asciiTheme="minorHAnsi" w:eastAsia="Arial" w:hAnsiTheme="minorHAnsi"/>
        </w:rPr>
      </w:pPr>
    </w:p>
    <w:p w:rsidR="007B2D8E" w:rsidRPr="00E76B0D" w:rsidRDefault="007B2D8E" w:rsidP="007B2D8E">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7B2D8E" w:rsidRDefault="007B2D8E" w:rsidP="007B2D8E">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E76B0D" w:rsidRPr="000D0CB5" w:rsidRDefault="00E76B0D" w:rsidP="00E76B0D">
      <w:pPr>
        <w:pStyle w:val="NormalWeb"/>
        <w:rPr>
          <w:rFonts w:asciiTheme="minorHAnsi" w:hAnsiTheme="minorHAnsi" w:cs="Arial"/>
        </w:rPr>
      </w:pPr>
      <w:r w:rsidRPr="00E76B0D">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0D0CB5">
          <w:rPr>
            <w:rStyle w:val="Hyperlink"/>
            <w:rFonts w:asciiTheme="minorHAnsi" w:hAnsiTheme="minorHAnsi" w:cs="Arial"/>
          </w:rPr>
          <w:t>Beth Barnes</w:t>
        </w:r>
      </w:hyperlink>
      <w:r w:rsidRPr="000D0CB5">
        <w:rPr>
          <w:rFonts w:asciiTheme="minorHAnsi" w:hAnsiTheme="minorHAnsi" w:cs="Arial"/>
        </w:rPr>
        <w:t xml:space="preserve">, Head of Professional Support </w:t>
      </w:r>
      <w:hyperlink r:id="rId9" w:history="1">
        <w:r w:rsidRPr="000D0CB5">
          <w:rPr>
            <w:rStyle w:val="Hyperlink"/>
            <w:rFonts w:asciiTheme="minorHAnsi" w:hAnsiTheme="minorHAnsi" w:cs="Arial"/>
          </w:rPr>
          <w:t>beth.barnes@rcophth.ac.uk</w:t>
        </w:r>
      </w:hyperlink>
      <w:r w:rsidRPr="000D0CB5">
        <w:rPr>
          <w:rFonts w:asciiTheme="minorHAnsi" w:hAnsiTheme="minorHAnsi" w:cs="Arial"/>
        </w:rPr>
        <w:t>.</w:t>
      </w:r>
    </w:p>
    <w:p w:rsidR="000D0CB5" w:rsidRPr="000D0CB5" w:rsidRDefault="000D0CB5" w:rsidP="000D0CB5">
      <w:pPr>
        <w:rPr>
          <w:rFonts w:asciiTheme="minorHAnsi" w:hAnsiTheme="minorHAnsi" w:cs="Arial"/>
          <w:color w:val="000000"/>
        </w:rPr>
      </w:pPr>
      <w:r w:rsidRPr="000D0CB5">
        <w:rPr>
          <w:rFonts w:asciiTheme="minorHAnsi" w:hAnsiTheme="minorHAnsi" w:cs="Arial"/>
          <w:color w:val="000000"/>
        </w:rPr>
        <w:t xml:space="preserve">Cataracts are very common and, if not severe enough to require surgery, are largely dealt with in primary care, primary care ophthalmology, and general ophthalmic services. </w:t>
      </w:r>
    </w:p>
    <w:p w:rsidR="000D0CB5" w:rsidRPr="000D0CB5" w:rsidRDefault="000D0CB5" w:rsidP="000D0CB5">
      <w:pPr>
        <w:pStyle w:val="NormalWeb"/>
        <w:spacing w:line="276" w:lineRule="auto"/>
        <w:jc w:val="both"/>
        <w:rPr>
          <w:rFonts w:asciiTheme="minorHAnsi" w:hAnsiTheme="minorHAnsi" w:cs="Arial"/>
        </w:rPr>
      </w:pPr>
      <w:r w:rsidRPr="000D0CB5">
        <w:rPr>
          <w:rFonts w:asciiTheme="minorHAnsi" w:hAnsiTheme="minorHAnsi" w:cs="Arial"/>
          <w:color w:val="000000"/>
        </w:rPr>
        <w:t>Cataract care standards in this document apply to the surgical pathway and are mainly aimed at providers of operative care.</w:t>
      </w:r>
    </w:p>
    <w:p w:rsidR="00E76B0D" w:rsidRPr="000D0CB5" w:rsidRDefault="00E76B0D" w:rsidP="00E76B0D">
      <w:pPr>
        <w:rPr>
          <w:rFonts w:asciiTheme="minorHAnsi" w:eastAsia="Calibri" w:hAnsiTheme="minorHAnsi" w:cs="Arial"/>
        </w:rPr>
      </w:pPr>
      <w:r w:rsidRPr="000D0CB5">
        <w:rPr>
          <w:rFonts w:asciiTheme="minorHAnsi" w:hAnsiTheme="minorHAnsi" w:cs="Arial"/>
        </w:rPr>
        <w:br w:type="page"/>
      </w:r>
    </w:p>
    <w:p w:rsidR="000D0CB5" w:rsidRPr="000D0CB5" w:rsidRDefault="000D0CB5" w:rsidP="000D0CB5">
      <w:pPr>
        <w:pStyle w:val="ListParagraph"/>
        <w:numPr>
          <w:ilvl w:val="0"/>
          <w:numId w:val="11"/>
        </w:numPr>
        <w:ind w:left="0"/>
        <w:rPr>
          <w:rFonts w:asciiTheme="minorHAnsi" w:hAnsiTheme="minorHAnsi" w:cs="Arial"/>
          <w:sz w:val="24"/>
          <w:szCs w:val="24"/>
        </w:rPr>
      </w:pPr>
      <w:r w:rsidRPr="000D0CB5">
        <w:rPr>
          <w:rFonts w:asciiTheme="minorHAnsi" w:hAnsiTheme="minorHAnsi" w:cs="Arial"/>
          <w:sz w:val="24"/>
          <w:szCs w:val="24"/>
        </w:rPr>
        <w:lastRenderedPageBreak/>
        <w:t>There is a nominated lead for cataract with this role specified in t</w:t>
      </w:r>
      <w:r>
        <w:rPr>
          <w:rFonts w:asciiTheme="minorHAnsi" w:hAnsiTheme="minorHAnsi" w:cs="Arial"/>
          <w:sz w:val="24"/>
          <w:szCs w:val="24"/>
        </w:rPr>
        <w:t>heir job plan / job description:</w:t>
      </w:r>
    </w:p>
    <w:p w:rsidR="000D0CB5" w:rsidRPr="000D0CB5" w:rsidRDefault="000D0CB5" w:rsidP="000D0CB5">
      <w:pPr>
        <w:ind w:firstLine="720"/>
        <w:rPr>
          <w:rFonts w:asciiTheme="minorHAnsi" w:hAnsiTheme="minorHAnsi" w:cs="Arial"/>
        </w:rPr>
      </w:pPr>
      <w:r w:rsidRPr="000D0CB5">
        <w:rPr>
          <w:rFonts w:asciiTheme="minorHAnsi" w:hAnsiTheme="minorHAnsi" w:cs="Arial"/>
        </w:rPr>
        <w:t xml:space="preserve">YES  </w:t>
      </w:r>
      <w:bookmarkStart w:id="0" w:name="Check1"/>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bookmarkEnd w:id="0"/>
      <w:r w:rsidRPr="000D0CB5">
        <w:rPr>
          <w:rFonts w:asciiTheme="minorHAnsi" w:hAnsiTheme="minorHAnsi" w:cs="Arial"/>
        </w:rPr>
        <w:tab/>
        <w:t xml:space="preserve">NO  </w:t>
      </w:r>
      <w:bookmarkStart w:id="1" w:name="Check2"/>
      <w:r w:rsidRPr="000D0CB5">
        <w:rPr>
          <w:rFonts w:asciiTheme="minorHAnsi" w:hAnsiTheme="minorHAnsi" w:cs="Arial"/>
        </w:rPr>
        <w:fldChar w:fldCharType="begin">
          <w:ffData>
            <w:name w:val="Check2"/>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bookmarkEnd w:id="1"/>
      <w:r w:rsidRPr="000D0CB5">
        <w:rPr>
          <w:rFonts w:asciiTheme="minorHAnsi" w:hAnsiTheme="minorHAnsi" w:cs="Arial"/>
        </w:rPr>
        <w:tab/>
      </w:r>
    </w:p>
    <w:p w:rsidR="000D0CB5" w:rsidRDefault="000D0CB5" w:rsidP="000D0CB5">
      <w:pPr>
        <w:rPr>
          <w:rFonts w:asciiTheme="minorHAnsi" w:hAnsiTheme="minorHAnsi" w:cs="Arial"/>
        </w:rPr>
      </w:pPr>
    </w:p>
    <w:p w:rsidR="000D0CB5" w:rsidRP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rPr>
          <w:rFonts w:asciiTheme="minorHAnsi" w:hAnsiTheme="minorHAnsi" w:cs="Arial"/>
        </w:rPr>
      </w:pP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numPr>
          <w:ilvl w:val="0"/>
          <w:numId w:val="11"/>
        </w:numPr>
        <w:ind w:left="0"/>
        <w:rPr>
          <w:rFonts w:asciiTheme="minorHAnsi" w:hAnsiTheme="minorHAnsi" w:cs="Arial"/>
          <w:sz w:val="24"/>
          <w:szCs w:val="24"/>
        </w:rPr>
      </w:pPr>
      <w:r>
        <w:rPr>
          <w:rFonts w:asciiTheme="minorHAnsi" w:hAnsiTheme="minorHAnsi" w:cs="Arial"/>
          <w:sz w:val="24"/>
          <w:szCs w:val="24"/>
        </w:rPr>
        <w:t>Care is compliant with T</w:t>
      </w:r>
      <w:r w:rsidRPr="000D0CB5">
        <w:rPr>
          <w:rFonts w:asciiTheme="minorHAnsi" w:hAnsiTheme="minorHAnsi" w:cs="Arial"/>
          <w:sz w:val="24"/>
          <w:szCs w:val="24"/>
        </w:rPr>
        <w:t>he Royal College of Ophthalmologists cataract surgery guidelines. Staff are aware of and follow the RCOphth guidelines or use local cataract care guidelines b</w:t>
      </w:r>
      <w:r>
        <w:rPr>
          <w:rFonts w:asciiTheme="minorHAnsi" w:hAnsiTheme="minorHAnsi" w:cs="Arial"/>
          <w:sz w:val="24"/>
          <w:szCs w:val="24"/>
        </w:rPr>
        <w:t>ased on the RCOphth publication:</w:t>
      </w:r>
    </w:p>
    <w:p w:rsidR="000D0CB5" w:rsidRPr="000D0CB5" w:rsidRDefault="000D0CB5" w:rsidP="000D0CB5">
      <w:pPr>
        <w:ind w:firstLine="720"/>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       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Default="000D0CB5" w:rsidP="000D0CB5">
      <w:pPr>
        <w:rPr>
          <w:rFonts w:asciiTheme="minorHAnsi" w:hAnsiTheme="minorHAnsi" w:cs="Arial"/>
        </w:rPr>
      </w:pPr>
    </w:p>
    <w:p w:rsid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rPr>
          <w:rFonts w:asciiTheme="minorHAnsi" w:hAnsiTheme="minorHAnsi" w:cs="Arial"/>
        </w:rPr>
      </w:pPr>
    </w:p>
    <w:p w:rsidR="000D0CB5" w:rsidRPr="000D0CB5" w:rsidRDefault="000D0CB5" w:rsidP="000D0CB5">
      <w:pPr>
        <w:pStyle w:val="ListParagraph"/>
        <w:ind w:left="0"/>
        <w:rPr>
          <w:rFonts w:asciiTheme="minorHAnsi" w:hAnsiTheme="minorHAnsi" w:cs="Arial"/>
          <w:color w:val="5B9BD5" w:themeColor="accent1"/>
          <w:sz w:val="24"/>
          <w:szCs w:val="24"/>
        </w:rPr>
      </w:pPr>
    </w:p>
    <w:p w:rsidR="000D0CB5" w:rsidRPr="000D0CB5" w:rsidRDefault="000D0CB5" w:rsidP="000D0CB5">
      <w:pPr>
        <w:pStyle w:val="ListParagraph"/>
        <w:numPr>
          <w:ilvl w:val="0"/>
          <w:numId w:val="11"/>
        </w:numPr>
        <w:ind w:left="0"/>
        <w:rPr>
          <w:rFonts w:asciiTheme="minorHAnsi" w:hAnsiTheme="minorHAnsi" w:cs="Arial"/>
          <w:color w:val="5B9BD5" w:themeColor="accent1"/>
          <w:sz w:val="24"/>
          <w:szCs w:val="24"/>
        </w:rPr>
      </w:pPr>
      <w:r w:rsidRPr="000D0CB5">
        <w:rPr>
          <w:rFonts w:asciiTheme="minorHAnsi" w:hAnsiTheme="minorHAnsi" w:cs="Arial"/>
          <w:sz w:val="24"/>
          <w:szCs w:val="24"/>
        </w:rPr>
        <w:t>Pre and post-surgical cataract patients</w:t>
      </w:r>
      <w:r w:rsidRPr="000D0CB5">
        <w:rPr>
          <w:rFonts w:asciiTheme="minorHAnsi" w:hAnsiTheme="minorHAnsi" w:cs="Arial"/>
          <w:bCs/>
          <w:sz w:val="24"/>
          <w:szCs w:val="24"/>
        </w:rPr>
        <w:t xml:space="preserve"> are managed by appropriately trained clinical staff, or trainees under the supervision of fully trained staff, and appropriate protocols are adhered to</w:t>
      </w:r>
      <w:r>
        <w:rPr>
          <w:rFonts w:asciiTheme="minorHAnsi" w:hAnsiTheme="minorHAnsi" w:cs="Arial"/>
          <w:sz w:val="24"/>
          <w:szCs w:val="24"/>
        </w:rPr>
        <w:t>:</w:t>
      </w:r>
    </w:p>
    <w:p w:rsidR="000D0CB5" w:rsidRDefault="000D0CB5" w:rsidP="000D0CB5">
      <w:pPr>
        <w:ind w:firstLine="720"/>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r>
      <w:r w:rsidR="00BC4EF2">
        <w:rPr>
          <w:rFonts w:asciiTheme="minorHAnsi" w:hAnsiTheme="minorHAnsi" w:cs="Arial"/>
        </w:rPr>
        <w:t xml:space="preserve"> </w:t>
      </w:r>
      <w:r w:rsidRPr="000D0CB5">
        <w:rPr>
          <w:rFonts w:asciiTheme="minorHAnsi" w:hAnsiTheme="minorHAnsi" w:cs="Arial"/>
        </w:rPr>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ind w:firstLine="720"/>
        <w:rPr>
          <w:rFonts w:asciiTheme="minorHAnsi" w:hAnsiTheme="minorHAnsi" w:cs="Arial"/>
        </w:rPr>
      </w:pPr>
    </w:p>
    <w:p w:rsidR="000D0CB5" w:rsidRPr="000D0CB5" w:rsidRDefault="000D0CB5" w:rsidP="000D0CB5">
      <w:pPr>
        <w:rPr>
          <w:rFonts w:asciiTheme="minorHAnsi" w:hAnsiTheme="minorHAnsi" w:cs="Arial"/>
        </w:rPr>
      </w:pPr>
      <w:r w:rsidRPr="000D0CB5">
        <w:rPr>
          <w:rFonts w:asciiTheme="minorHAnsi" w:hAnsiTheme="minorHAnsi" w:cs="Arial"/>
        </w:rPr>
        <w:t xml:space="preserve">Where nonmedical staff see cataract </w:t>
      </w:r>
      <w:r w:rsidR="007B2D8E">
        <w:rPr>
          <w:rFonts w:asciiTheme="minorHAnsi" w:hAnsiTheme="minorHAnsi" w:cs="Arial"/>
        </w:rPr>
        <w:t>patients,</w:t>
      </w:r>
      <w:r w:rsidRPr="000D0CB5">
        <w:rPr>
          <w:rFonts w:asciiTheme="minorHAnsi" w:hAnsiTheme="minorHAnsi" w:cs="Arial"/>
        </w:rPr>
        <w:t xml:space="preserve"> appropriate governance arrangements are in place including regular in-house training, extended role protocols and recorded competency</w:t>
      </w:r>
      <w:r>
        <w:rPr>
          <w:rFonts w:asciiTheme="minorHAnsi" w:hAnsiTheme="minorHAnsi" w:cs="Arial"/>
        </w:rPr>
        <w:t xml:space="preserve"> standards:</w:t>
      </w:r>
    </w:p>
    <w:p w:rsidR="000D0CB5" w:rsidRDefault="000D0CB5" w:rsidP="000D0CB5">
      <w:pPr>
        <w:rPr>
          <w:rFonts w:asciiTheme="minorHAnsi" w:hAnsiTheme="minorHAnsi" w:cs="Arial"/>
        </w:rPr>
      </w:pPr>
    </w:p>
    <w:p w:rsidR="000D0CB5" w:rsidRPr="000D0CB5" w:rsidRDefault="000D0CB5" w:rsidP="000D0CB5">
      <w:pPr>
        <w:ind w:firstLine="720"/>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numPr>
          <w:ilvl w:val="0"/>
          <w:numId w:val="11"/>
        </w:numPr>
        <w:ind w:left="0"/>
        <w:rPr>
          <w:rFonts w:asciiTheme="minorHAnsi" w:hAnsiTheme="minorHAnsi" w:cs="Arial"/>
          <w:sz w:val="24"/>
          <w:szCs w:val="24"/>
        </w:rPr>
      </w:pPr>
      <w:r w:rsidRPr="000D0CB5">
        <w:rPr>
          <w:rFonts w:asciiTheme="minorHAnsi" w:hAnsiTheme="minorHAnsi" w:cs="Arial"/>
          <w:color w:val="000000"/>
          <w:sz w:val="24"/>
          <w:szCs w:val="24"/>
        </w:rPr>
        <w:t>Patients with cataract are routinely supplied with information in an accessible format on their diagnosis, treatment and medication</w:t>
      </w:r>
      <w:r>
        <w:rPr>
          <w:rFonts w:asciiTheme="minorHAnsi" w:hAnsiTheme="minorHAnsi" w:cs="Arial"/>
          <w:color w:val="000000"/>
          <w:sz w:val="24"/>
          <w:szCs w:val="24"/>
        </w:rPr>
        <w:t>:</w:t>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ind w:left="0" w:firstLine="720"/>
        <w:rPr>
          <w:rFonts w:asciiTheme="minorHAnsi" w:hAnsiTheme="minorHAnsi" w:cs="Arial"/>
          <w:sz w:val="24"/>
          <w:szCs w:val="24"/>
        </w:rPr>
      </w:pPr>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Check1"/>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ind w:left="0"/>
        <w:rPr>
          <w:rFonts w:asciiTheme="minorHAnsi" w:hAnsiTheme="minorHAnsi" w:cs="Arial"/>
          <w:sz w:val="24"/>
          <w:szCs w:val="24"/>
        </w:rPr>
      </w:pPr>
      <w:r w:rsidRPr="000D0CB5">
        <w:rPr>
          <w:rFonts w:asciiTheme="minorHAnsi" w:hAnsiTheme="minorHAnsi" w:cs="Arial"/>
          <w:sz w:val="24"/>
          <w:szCs w:val="24"/>
        </w:rPr>
        <w:t>List available cataract leaflets:</w:t>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numPr>
          <w:ilvl w:val="0"/>
          <w:numId w:val="11"/>
        </w:numPr>
        <w:ind w:left="0"/>
        <w:rPr>
          <w:rFonts w:asciiTheme="minorHAnsi" w:hAnsiTheme="minorHAnsi" w:cs="Arial"/>
          <w:sz w:val="24"/>
          <w:szCs w:val="24"/>
        </w:rPr>
      </w:pPr>
      <w:r w:rsidRPr="000D0CB5">
        <w:rPr>
          <w:rFonts w:asciiTheme="minorHAnsi" w:hAnsiTheme="minorHAnsi" w:cs="Arial"/>
          <w:sz w:val="24"/>
          <w:szCs w:val="24"/>
        </w:rPr>
        <w:t>Cataract relevant imaging and diagnostic instruments are available for use when appropriate:</w:t>
      </w:r>
    </w:p>
    <w:p w:rsidR="000D0CB5" w:rsidRPr="000D0CB5" w:rsidRDefault="000D0CB5" w:rsidP="000D0CB5">
      <w:pPr>
        <w:pStyle w:val="ListParagraph"/>
        <w:numPr>
          <w:ilvl w:val="0"/>
          <w:numId w:val="15"/>
        </w:numPr>
        <w:rPr>
          <w:rFonts w:asciiTheme="minorHAnsi" w:hAnsiTheme="minorHAnsi" w:cs="Arial"/>
          <w:sz w:val="24"/>
          <w:szCs w:val="24"/>
        </w:rPr>
      </w:pPr>
      <w:r w:rsidRPr="000D0CB5">
        <w:rPr>
          <w:rFonts w:asciiTheme="minorHAnsi" w:hAnsiTheme="minorHAnsi" w:cs="Arial"/>
          <w:iCs/>
        </w:rPr>
        <w:t xml:space="preserve">Laser interferometry (optical) biometry </w:t>
      </w:r>
      <w:r>
        <w:rPr>
          <w:rFonts w:asciiTheme="minorHAnsi" w:hAnsiTheme="minorHAnsi" w:cs="Arial"/>
          <w:iCs/>
        </w:rPr>
        <w:tab/>
      </w:r>
      <w:r>
        <w:rPr>
          <w:rFonts w:asciiTheme="minorHAnsi" w:hAnsiTheme="minorHAnsi" w:cs="Arial"/>
          <w:iCs/>
        </w:rPr>
        <w:tab/>
      </w:r>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Check1"/>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 </w:t>
      </w:r>
      <w:r w:rsidRPr="000D0CB5">
        <w:rPr>
          <w:rFonts w:asciiTheme="minorHAnsi" w:hAnsiTheme="minorHAnsi" w:cs="Arial"/>
          <w:sz w:val="24"/>
          <w:szCs w:val="24"/>
        </w:rPr>
        <w:tab/>
        <w:t xml:space="preserve">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0D0CB5" w:rsidRPr="000D0CB5" w:rsidRDefault="000D0CB5" w:rsidP="000D0CB5">
      <w:pPr>
        <w:pStyle w:val="ListParagraph"/>
        <w:numPr>
          <w:ilvl w:val="0"/>
          <w:numId w:val="15"/>
        </w:numPr>
        <w:rPr>
          <w:rFonts w:asciiTheme="minorHAnsi" w:hAnsiTheme="minorHAnsi" w:cs="Arial"/>
          <w:sz w:val="24"/>
          <w:szCs w:val="24"/>
        </w:rPr>
      </w:pPr>
      <w:r w:rsidRPr="000D0CB5">
        <w:rPr>
          <w:rFonts w:asciiTheme="minorHAnsi" w:hAnsiTheme="minorHAnsi" w:cs="Arial"/>
          <w:iCs/>
        </w:rPr>
        <w:t xml:space="preserve">A scan ultrasound                                 </w:t>
      </w:r>
      <w:r>
        <w:rPr>
          <w:rFonts w:asciiTheme="minorHAnsi" w:hAnsiTheme="minorHAnsi" w:cs="Arial"/>
          <w:iCs/>
        </w:rPr>
        <w:tab/>
      </w:r>
      <w:r>
        <w:rPr>
          <w:rFonts w:asciiTheme="minorHAnsi" w:hAnsiTheme="minorHAnsi" w:cs="Arial"/>
          <w:iCs/>
        </w:rPr>
        <w:tab/>
      </w:r>
      <w:r>
        <w:rPr>
          <w:rFonts w:asciiTheme="minorHAnsi" w:hAnsiTheme="minorHAnsi" w:cs="Arial"/>
          <w:iCs/>
        </w:rPr>
        <w:tab/>
      </w:r>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Check1"/>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 </w:t>
      </w:r>
      <w:r>
        <w:rPr>
          <w:rFonts w:asciiTheme="minorHAnsi" w:hAnsiTheme="minorHAnsi" w:cs="Arial"/>
          <w:sz w:val="24"/>
          <w:szCs w:val="24"/>
        </w:rPr>
        <w:tab/>
      </w:r>
      <w:r w:rsidRPr="000D0CB5">
        <w:rPr>
          <w:rFonts w:asciiTheme="minorHAnsi" w:hAnsiTheme="minorHAnsi" w:cs="Arial"/>
          <w:sz w:val="24"/>
          <w:szCs w:val="24"/>
        </w:rPr>
        <w:t xml:space="preserve">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0D0CB5" w:rsidRPr="000D0CB5" w:rsidRDefault="000D0CB5" w:rsidP="000D0CB5">
      <w:pPr>
        <w:pStyle w:val="ListParagraph"/>
        <w:numPr>
          <w:ilvl w:val="0"/>
          <w:numId w:val="15"/>
        </w:numPr>
        <w:rPr>
          <w:rFonts w:asciiTheme="minorHAnsi" w:hAnsiTheme="minorHAnsi" w:cs="Arial"/>
          <w:sz w:val="24"/>
          <w:szCs w:val="24"/>
        </w:rPr>
      </w:pPr>
      <w:r w:rsidRPr="000D0CB5">
        <w:rPr>
          <w:rFonts w:asciiTheme="minorHAnsi" w:hAnsiTheme="minorHAnsi" w:cs="Arial"/>
          <w:iCs/>
          <w:sz w:val="24"/>
          <w:szCs w:val="24"/>
        </w:rPr>
        <w:t xml:space="preserve">Corneal topography and </w:t>
      </w:r>
      <w:proofErr w:type="spellStart"/>
      <w:r w:rsidRPr="000D0CB5">
        <w:rPr>
          <w:rFonts w:asciiTheme="minorHAnsi" w:hAnsiTheme="minorHAnsi" w:cs="Arial"/>
          <w:iCs/>
          <w:sz w:val="24"/>
          <w:szCs w:val="24"/>
        </w:rPr>
        <w:t>keratometry</w:t>
      </w:r>
      <w:proofErr w:type="spellEnd"/>
      <w:r w:rsidRPr="000D0CB5">
        <w:rPr>
          <w:rFonts w:asciiTheme="minorHAnsi" w:hAnsiTheme="minorHAnsi" w:cs="Arial"/>
          <w:iCs/>
          <w:sz w:val="24"/>
          <w:szCs w:val="24"/>
        </w:rPr>
        <w:t xml:space="preserve">   </w:t>
      </w:r>
      <w:r w:rsidRPr="000D0CB5">
        <w:rPr>
          <w:rFonts w:asciiTheme="minorHAnsi" w:hAnsiTheme="minorHAnsi" w:cs="Arial"/>
          <w:iCs/>
          <w:sz w:val="24"/>
          <w:szCs w:val="24"/>
        </w:rPr>
        <w:tab/>
      </w:r>
      <w:r>
        <w:rPr>
          <w:rFonts w:asciiTheme="minorHAnsi" w:hAnsiTheme="minorHAnsi" w:cs="Arial"/>
          <w:iCs/>
          <w:sz w:val="24"/>
          <w:szCs w:val="24"/>
        </w:rPr>
        <w:tab/>
      </w:r>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 </w:t>
      </w:r>
      <w:r w:rsidRPr="000D0CB5">
        <w:rPr>
          <w:rFonts w:asciiTheme="minorHAnsi" w:hAnsiTheme="minorHAnsi" w:cs="Arial"/>
          <w:sz w:val="24"/>
          <w:szCs w:val="24"/>
        </w:rPr>
        <w:tab/>
        <w:t xml:space="preserve">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0D0CB5" w:rsidRPr="000D0CB5" w:rsidRDefault="000D0CB5" w:rsidP="000D0CB5">
      <w:pPr>
        <w:pStyle w:val="ListParagraph"/>
        <w:numPr>
          <w:ilvl w:val="0"/>
          <w:numId w:val="15"/>
        </w:numPr>
        <w:rPr>
          <w:rFonts w:asciiTheme="minorHAnsi" w:hAnsiTheme="minorHAnsi" w:cs="Arial"/>
          <w:sz w:val="24"/>
          <w:szCs w:val="24"/>
        </w:rPr>
      </w:pPr>
      <w:proofErr w:type="spellStart"/>
      <w:r w:rsidRPr="000D0CB5">
        <w:rPr>
          <w:rFonts w:asciiTheme="minorHAnsi" w:hAnsiTheme="minorHAnsi" w:cs="Arial"/>
          <w:iCs/>
          <w:sz w:val="24"/>
          <w:szCs w:val="24"/>
        </w:rPr>
        <w:t>Autorefractor</w:t>
      </w:r>
      <w:proofErr w:type="spellEnd"/>
      <w:r w:rsidRPr="000D0CB5">
        <w:rPr>
          <w:rFonts w:asciiTheme="minorHAnsi" w:hAnsiTheme="minorHAnsi" w:cs="Arial"/>
          <w:iCs/>
          <w:sz w:val="24"/>
          <w:szCs w:val="24"/>
        </w:rPr>
        <w:t xml:space="preserve">                                         </w:t>
      </w:r>
      <w:r>
        <w:rPr>
          <w:rFonts w:asciiTheme="minorHAnsi" w:hAnsiTheme="minorHAnsi" w:cs="Arial"/>
          <w:iCs/>
          <w:sz w:val="24"/>
          <w:szCs w:val="24"/>
        </w:rPr>
        <w:tab/>
      </w:r>
      <w:r>
        <w:rPr>
          <w:rFonts w:asciiTheme="minorHAnsi" w:hAnsiTheme="minorHAnsi" w:cs="Arial"/>
          <w:iCs/>
          <w:sz w:val="24"/>
          <w:szCs w:val="24"/>
        </w:rPr>
        <w:tab/>
      </w:r>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Check1"/>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 </w:t>
      </w:r>
      <w:r>
        <w:rPr>
          <w:rFonts w:asciiTheme="minorHAnsi" w:hAnsiTheme="minorHAnsi" w:cs="Arial"/>
          <w:sz w:val="24"/>
          <w:szCs w:val="24"/>
        </w:rPr>
        <w:tab/>
      </w:r>
      <w:r w:rsidRPr="000D0CB5">
        <w:rPr>
          <w:rFonts w:asciiTheme="minorHAnsi" w:hAnsiTheme="minorHAnsi" w:cs="Arial"/>
          <w:sz w:val="24"/>
          <w:szCs w:val="24"/>
        </w:rPr>
        <w:t xml:space="preserve">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0D0CB5" w:rsidRPr="000D0CB5" w:rsidRDefault="000D0CB5" w:rsidP="000D0CB5">
      <w:pPr>
        <w:pStyle w:val="ListParagraph"/>
        <w:numPr>
          <w:ilvl w:val="0"/>
          <w:numId w:val="15"/>
        </w:numPr>
        <w:rPr>
          <w:rFonts w:asciiTheme="minorHAnsi" w:hAnsiTheme="minorHAnsi" w:cs="Arial"/>
          <w:sz w:val="24"/>
          <w:szCs w:val="24"/>
        </w:rPr>
      </w:pPr>
      <w:r w:rsidRPr="000D0CB5">
        <w:rPr>
          <w:rFonts w:asciiTheme="minorHAnsi" w:hAnsiTheme="minorHAnsi" w:cs="Arial"/>
          <w:iCs/>
          <w:sz w:val="24"/>
          <w:szCs w:val="24"/>
        </w:rPr>
        <w:t xml:space="preserve">Retinal OCT           </w:t>
      </w:r>
      <w:r w:rsidR="007B2D8E">
        <w:rPr>
          <w:rFonts w:asciiTheme="minorHAnsi" w:hAnsiTheme="minorHAnsi" w:cs="Arial"/>
          <w:iCs/>
          <w:sz w:val="24"/>
          <w:szCs w:val="24"/>
        </w:rPr>
        <w:t xml:space="preserve">                             </w:t>
      </w:r>
      <w:r w:rsidR="007B2D8E">
        <w:rPr>
          <w:rFonts w:asciiTheme="minorHAnsi" w:hAnsiTheme="minorHAnsi" w:cs="Arial"/>
          <w:iCs/>
          <w:sz w:val="24"/>
          <w:szCs w:val="24"/>
        </w:rPr>
        <w:tab/>
      </w:r>
      <w:r w:rsidR="007B2D8E">
        <w:rPr>
          <w:rFonts w:asciiTheme="minorHAnsi" w:hAnsiTheme="minorHAnsi" w:cs="Arial"/>
          <w:iCs/>
          <w:sz w:val="24"/>
          <w:szCs w:val="24"/>
        </w:rPr>
        <w:tab/>
      </w:r>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Check1"/>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 </w:t>
      </w:r>
      <w:r w:rsidR="007B2D8E">
        <w:rPr>
          <w:rFonts w:asciiTheme="minorHAnsi" w:hAnsiTheme="minorHAnsi" w:cs="Arial"/>
          <w:sz w:val="24"/>
          <w:szCs w:val="24"/>
        </w:rPr>
        <w:tab/>
      </w:r>
      <w:r w:rsidRPr="000D0CB5">
        <w:rPr>
          <w:rFonts w:asciiTheme="minorHAnsi" w:hAnsiTheme="minorHAnsi" w:cs="Arial"/>
          <w:sz w:val="24"/>
          <w:szCs w:val="24"/>
        </w:rPr>
        <w:t xml:space="preserve">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0D0CB5" w:rsidRPr="000D0CB5" w:rsidRDefault="000D0CB5" w:rsidP="000D0CB5">
      <w:pPr>
        <w:rPr>
          <w:rFonts w:asciiTheme="minorHAnsi" w:hAnsiTheme="minorHAnsi" w:cs="Arial"/>
        </w:rPr>
      </w:pPr>
      <w:r w:rsidRPr="000D0CB5">
        <w:rPr>
          <w:rFonts w:asciiTheme="minorHAnsi" w:hAnsiTheme="minorHAnsi" w:cs="Arial"/>
        </w:rPr>
        <w:lastRenderedPageBreak/>
        <w:t>Evidence / comments:</w:t>
      </w:r>
    </w:p>
    <w:p w:rsidR="000D0CB5" w:rsidRPr="000D0CB5" w:rsidRDefault="000D0CB5" w:rsidP="000D0CB5">
      <w:pPr>
        <w:pStyle w:val="ListParagraph"/>
        <w:ind w:left="0"/>
        <w:rPr>
          <w:rFonts w:asciiTheme="minorHAnsi" w:hAnsiTheme="minorHAnsi" w:cs="Arial"/>
          <w:color w:val="5B9BD5" w:themeColor="accent1"/>
          <w:sz w:val="24"/>
          <w:szCs w:val="24"/>
        </w:rPr>
      </w:pP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numPr>
          <w:ilvl w:val="0"/>
          <w:numId w:val="11"/>
        </w:numPr>
        <w:ind w:left="0"/>
        <w:rPr>
          <w:rFonts w:asciiTheme="minorHAnsi" w:hAnsiTheme="minorHAnsi" w:cs="Arial"/>
          <w:sz w:val="24"/>
          <w:szCs w:val="24"/>
        </w:rPr>
      </w:pPr>
      <w:r w:rsidRPr="000D0CB5">
        <w:rPr>
          <w:rFonts w:asciiTheme="minorHAnsi" w:hAnsiTheme="minorHAnsi" w:cs="Arial"/>
          <w:sz w:val="24"/>
          <w:szCs w:val="24"/>
        </w:rPr>
        <w:t>Instruments are suitably calibrated and adjusted:</w:t>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numPr>
          <w:ilvl w:val="0"/>
          <w:numId w:val="16"/>
        </w:numPr>
        <w:rPr>
          <w:rFonts w:asciiTheme="minorHAnsi" w:hAnsiTheme="minorHAnsi" w:cs="Arial"/>
          <w:iCs/>
          <w:sz w:val="24"/>
          <w:szCs w:val="24"/>
        </w:rPr>
      </w:pPr>
      <w:r w:rsidRPr="000D0CB5">
        <w:rPr>
          <w:rFonts w:asciiTheme="minorHAnsi" w:hAnsiTheme="minorHAnsi" w:cs="Arial"/>
          <w:iCs/>
          <w:sz w:val="24"/>
          <w:szCs w:val="24"/>
        </w:rPr>
        <w:t>Biometry equipment is calibrated regularly in accordance with manufacturer’s instructions</w:t>
      </w:r>
    </w:p>
    <w:p w:rsidR="000D0CB5" w:rsidRDefault="000D0CB5" w:rsidP="00BC4EF2">
      <w:pPr>
        <w:ind w:left="6480" w:right="-285" w:firstLine="720"/>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 </w:t>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BC4EF2" w:rsidRPr="000D0CB5" w:rsidRDefault="00BC4EF2" w:rsidP="00BC4EF2">
      <w:pPr>
        <w:ind w:right="-285"/>
        <w:rPr>
          <w:rFonts w:asciiTheme="minorHAnsi" w:hAnsiTheme="minorHAnsi" w:cs="Arial"/>
          <w:iCs/>
        </w:rPr>
      </w:pPr>
    </w:p>
    <w:p w:rsidR="000D0CB5" w:rsidRDefault="000D0CB5" w:rsidP="000D0CB5">
      <w:pPr>
        <w:pStyle w:val="ListParagraph"/>
        <w:numPr>
          <w:ilvl w:val="0"/>
          <w:numId w:val="16"/>
        </w:numPr>
        <w:rPr>
          <w:rFonts w:asciiTheme="minorHAnsi" w:hAnsiTheme="minorHAnsi" w:cs="Arial"/>
          <w:iCs/>
          <w:sz w:val="24"/>
          <w:szCs w:val="24"/>
        </w:rPr>
      </w:pPr>
      <w:r w:rsidRPr="000D0CB5">
        <w:rPr>
          <w:rFonts w:asciiTheme="minorHAnsi" w:hAnsiTheme="minorHAnsi" w:cs="Arial"/>
          <w:iCs/>
          <w:sz w:val="24"/>
          <w:szCs w:val="24"/>
        </w:rPr>
        <w:t xml:space="preserve">Refractive outcomes are utilised to adjust biometric </w:t>
      </w:r>
      <w:proofErr w:type="gramStart"/>
      <w:r w:rsidRPr="000D0CB5">
        <w:rPr>
          <w:rFonts w:asciiTheme="minorHAnsi" w:hAnsiTheme="minorHAnsi" w:cs="Arial"/>
          <w:iCs/>
          <w:sz w:val="24"/>
          <w:szCs w:val="24"/>
        </w:rPr>
        <w:t>A constants</w:t>
      </w:r>
      <w:proofErr w:type="gramEnd"/>
      <w:r w:rsidRPr="000D0CB5">
        <w:rPr>
          <w:rFonts w:asciiTheme="minorHAnsi" w:hAnsiTheme="minorHAnsi" w:cs="Arial"/>
          <w:iCs/>
          <w:sz w:val="24"/>
          <w:szCs w:val="24"/>
        </w:rPr>
        <w:t xml:space="preserve"> for IOL calculation  </w:t>
      </w:r>
    </w:p>
    <w:p w:rsidR="000D0CB5" w:rsidRPr="00BC4EF2" w:rsidRDefault="000D0CB5" w:rsidP="00BC4EF2">
      <w:pPr>
        <w:ind w:left="6480" w:firstLine="720"/>
        <w:rPr>
          <w:rFonts w:asciiTheme="minorHAnsi" w:hAnsiTheme="minorHAnsi" w:cs="Arial"/>
          <w:iCs/>
        </w:rPr>
      </w:pPr>
      <w:r w:rsidRPr="00BC4EF2">
        <w:rPr>
          <w:rFonts w:asciiTheme="minorHAnsi" w:hAnsiTheme="minorHAnsi" w:cs="Arial"/>
        </w:rPr>
        <w:t xml:space="preserve">YES </w:t>
      </w:r>
      <w:r w:rsidRPr="00BC4EF2">
        <w:rPr>
          <w:rFonts w:asciiTheme="minorHAnsi" w:hAnsiTheme="minorHAnsi" w:cs="Arial"/>
        </w:rPr>
        <w:fldChar w:fldCharType="begin">
          <w:ffData>
            <w:name w:val="Check1"/>
            <w:enabled/>
            <w:calcOnExit w:val="0"/>
            <w:checkBox>
              <w:sizeAuto/>
              <w:default w:val="0"/>
            </w:checkBox>
          </w:ffData>
        </w:fldChar>
      </w:r>
      <w:r w:rsidRPr="00BC4EF2">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BC4EF2">
        <w:rPr>
          <w:rFonts w:asciiTheme="minorHAnsi" w:hAnsiTheme="minorHAnsi" w:cs="Arial"/>
        </w:rPr>
        <w:fldChar w:fldCharType="end"/>
      </w:r>
      <w:r w:rsidRPr="00BC4EF2">
        <w:rPr>
          <w:rFonts w:asciiTheme="minorHAnsi" w:hAnsiTheme="minorHAnsi" w:cs="Arial"/>
        </w:rPr>
        <w:tab/>
        <w:t xml:space="preserve"> </w:t>
      </w:r>
      <w:r w:rsidRPr="00BC4EF2">
        <w:rPr>
          <w:rFonts w:asciiTheme="minorHAnsi" w:hAnsiTheme="minorHAnsi" w:cs="Arial"/>
        </w:rPr>
        <w:tab/>
        <w:t xml:space="preserve">NO  </w:t>
      </w:r>
      <w:r w:rsidRPr="00BC4EF2">
        <w:rPr>
          <w:rFonts w:asciiTheme="minorHAnsi" w:hAnsiTheme="minorHAnsi" w:cs="Arial"/>
        </w:rPr>
        <w:fldChar w:fldCharType="begin">
          <w:ffData>
            <w:name w:val="Check3"/>
            <w:enabled/>
            <w:calcOnExit w:val="0"/>
            <w:checkBox>
              <w:sizeAuto/>
              <w:default w:val="0"/>
            </w:checkBox>
          </w:ffData>
        </w:fldChar>
      </w:r>
      <w:r w:rsidRPr="00BC4EF2">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BC4EF2">
        <w:rPr>
          <w:rFonts w:asciiTheme="minorHAnsi" w:hAnsiTheme="minorHAnsi" w:cs="Arial"/>
        </w:rPr>
        <w:fldChar w:fldCharType="end"/>
      </w:r>
    </w:p>
    <w:p w:rsidR="00BC4EF2" w:rsidRDefault="00BC4EF2" w:rsidP="000D0CB5">
      <w:pPr>
        <w:rPr>
          <w:rFonts w:asciiTheme="minorHAnsi" w:hAnsiTheme="minorHAnsi" w:cs="Arial"/>
        </w:rPr>
      </w:pPr>
    </w:p>
    <w:p w:rsidR="000D0CB5" w:rsidRP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pStyle w:val="ListParagraph"/>
        <w:ind w:left="0"/>
        <w:rPr>
          <w:rFonts w:asciiTheme="minorHAnsi" w:hAnsiTheme="minorHAnsi" w:cs="Arial"/>
          <w:sz w:val="24"/>
          <w:szCs w:val="24"/>
        </w:rPr>
      </w:pPr>
    </w:p>
    <w:p w:rsidR="000D0CB5" w:rsidRPr="000D0CB5" w:rsidRDefault="000D0CB5" w:rsidP="000D0CB5">
      <w:pPr>
        <w:pStyle w:val="ListParagraph"/>
        <w:numPr>
          <w:ilvl w:val="0"/>
          <w:numId w:val="11"/>
        </w:numPr>
        <w:ind w:left="0"/>
        <w:rPr>
          <w:rFonts w:asciiTheme="minorHAnsi" w:hAnsiTheme="minorHAnsi" w:cs="Arial"/>
          <w:sz w:val="24"/>
          <w:szCs w:val="24"/>
        </w:rPr>
      </w:pPr>
      <w:r w:rsidRPr="000D0CB5">
        <w:rPr>
          <w:rFonts w:asciiTheme="minorHAnsi" w:hAnsiTheme="minorHAnsi" w:cs="Arial"/>
          <w:iCs/>
          <w:sz w:val="24"/>
          <w:szCs w:val="24"/>
        </w:rPr>
        <w:t>A cataract surgery or ophthalmic specific WHO checklist is used:</w:t>
      </w:r>
    </w:p>
    <w:p w:rsidR="000D0CB5" w:rsidRPr="000D0CB5" w:rsidRDefault="000D0CB5" w:rsidP="000D0CB5">
      <w:pPr>
        <w:ind w:firstLine="720"/>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rPr>
          <w:rFonts w:asciiTheme="minorHAnsi" w:hAnsiTheme="minorHAnsi" w:cs="Arial"/>
        </w:rPr>
      </w:pPr>
    </w:p>
    <w:p w:rsidR="000D0CB5" w:rsidRP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rPr>
          <w:rFonts w:asciiTheme="minorHAnsi" w:hAnsiTheme="minorHAnsi" w:cs="Arial"/>
        </w:rPr>
      </w:pPr>
    </w:p>
    <w:p w:rsidR="000D0CB5" w:rsidRPr="000D0CB5" w:rsidRDefault="000D0CB5" w:rsidP="000D0CB5">
      <w:pPr>
        <w:rPr>
          <w:rFonts w:asciiTheme="minorHAnsi" w:hAnsiTheme="minorHAnsi" w:cs="Arial"/>
        </w:rPr>
      </w:pPr>
    </w:p>
    <w:p w:rsidR="000D0CB5" w:rsidRPr="000D0CB5" w:rsidRDefault="000D0CB5" w:rsidP="000D0CB5">
      <w:pPr>
        <w:pStyle w:val="ListParagraph"/>
        <w:numPr>
          <w:ilvl w:val="0"/>
          <w:numId w:val="11"/>
        </w:numPr>
        <w:ind w:left="0"/>
        <w:rPr>
          <w:rFonts w:asciiTheme="minorHAnsi" w:hAnsiTheme="minorHAnsi" w:cs="Arial"/>
          <w:sz w:val="24"/>
          <w:szCs w:val="24"/>
        </w:rPr>
      </w:pPr>
      <w:r w:rsidRPr="000D0CB5">
        <w:rPr>
          <w:rFonts w:asciiTheme="minorHAnsi" w:hAnsiTheme="minorHAnsi" w:cs="Arial"/>
          <w:sz w:val="24"/>
          <w:szCs w:val="24"/>
        </w:rPr>
        <w:t>Refraction and IOLs:</w:t>
      </w:r>
    </w:p>
    <w:p w:rsidR="000D0CB5" w:rsidRPr="00BC4EF2" w:rsidRDefault="000D0CB5" w:rsidP="00BC4EF2">
      <w:pPr>
        <w:pStyle w:val="ListParagraph"/>
        <w:numPr>
          <w:ilvl w:val="0"/>
          <w:numId w:val="16"/>
        </w:numPr>
        <w:rPr>
          <w:rFonts w:asciiTheme="minorHAnsi" w:hAnsiTheme="minorHAnsi" w:cs="Arial"/>
          <w:sz w:val="24"/>
          <w:szCs w:val="24"/>
        </w:rPr>
      </w:pPr>
      <w:r w:rsidRPr="000D0CB5">
        <w:rPr>
          <w:rFonts w:asciiTheme="minorHAnsi" w:hAnsiTheme="minorHAnsi" w:cs="Arial"/>
          <w:sz w:val="24"/>
          <w:szCs w:val="24"/>
        </w:rPr>
        <w:t>The surgeon or trained clinician discusses the refractive aims with the patient preoperatively</w:t>
      </w:r>
      <w:r w:rsidR="00BC4EF2">
        <w:rPr>
          <w:rFonts w:asciiTheme="minorHAnsi" w:hAnsiTheme="minorHAnsi" w:cs="Arial"/>
          <w:sz w:val="24"/>
          <w:szCs w:val="24"/>
        </w:rPr>
        <w:t xml:space="preserve"> and document this</w:t>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Pr="00BC4EF2">
        <w:rPr>
          <w:rFonts w:asciiTheme="minorHAnsi" w:hAnsiTheme="minorHAnsi" w:cs="Arial"/>
          <w:sz w:val="24"/>
          <w:szCs w:val="24"/>
        </w:rPr>
        <w:t xml:space="preserve">YES </w:t>
      </w:r>
      <w:r w:rsidRPr="00BC4EF2">
        <w:rPr>
          <w:rFonts w:asciiTheme="minorHAnsi" w:hAnsiTheme="minorHAnsi" w:cs="Arial"/>
          <w:sz w:val="24"/>
          <w:szCs w:val="24"/>
        </w:rPr>
        <w:fldChar w:fldCharType="begin">
          <w:ffData>
            <w:name w:val="Check1"/>
            <w:enabled/>
            <w:calcOnExit w:val="0"/>
            <w:checkBox>
              <w:sizeAuto/>
              <w:default w:val="0"/>
            </w:checkBox>
          </w:ffData>
        </w:fldChar>
      </w:r>
      <w:r w:rsidRPr="00BC4EF2">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BC4EF2">
        <w:rPr>
          <w:rFonts w:asciiTheme="minorHAnsi" w:hAnsiTheme="minorHAnsi" w:cs="Arial"/>
          <w:sz w:val="24"/>
          <w:szCs w:val="24"/>
        </w:rPr>
        <w:fldChar w:fldCharType="end"/>
      </w:r>
      <w:r w:rsidRPr="00BC4EF2">
        <w:rPr>
          <w:rFonts w:asciiTheme="minorHAnsi" w:hAnsiTheme="minorHAnsi" w:cs="Arial"/>
          <w:sz w:val="24"/>
          <w:szCs w:val="24"/>
        </w:rPr>
        <w:tab/>
        <w:t xml:space="preserve"> </w:t>
      </w:r>
      <w:r w:rsidRPr="00BC4EF2">
        <w:rPr>
          <w:rFonts w:asciiTheme="minorHAnsi" w:hAnsiTheme="minorHAnsi" w:cs="Arial"/>
          <w:sz w:val="24"/>
          <w:szCs w:val="24"/>
        </w:rPr>
        <w:tab/>
        <w:t xml:space="preserve">NO  </w:t>
      </w:r>
      <w:r w:rsidRPr="00BC4EF2">
        <w:rPr>
          <w:rFonts w:asciiTheme="minorHAnsi" w:hAnsiTheme="minorHAnsi" w:cs="Arial"/>
          <w:sz w:val="24"/>
          <w:szCs w:val="24"/>
        </w:rPr>
        <w:fldChar w:fldCharType="begin">
          <w:ffData>
            <w:name w:val="Check3"/>
            <w:enabled/>
            <w:calcOnExit w:val="0"/>
            <w:checkBox>
              <w:sizeAuto/>
              <w:default w:val="0"/>
            </w:checkBox>
          </w:ffData>
        </w:fldChar>
      </w:r>
      <w:r w:rsidRPr="00BC4EF2">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BC4EF2">
        <w:rPr>
          <w:rFonts w:asciiTheme="minorHAnsi" w:hAnsiTheme="minorHAnsi" w:cs="Arial"/>
          <w:sz w:val="24"/>
          <w:szCs w:val="24"/>
        </w:rPr>
        <w:fldChar w:fldCharType="end"/>
      </w:r>
    </w:p>
    <w:p w:rsidR="000D0CB5" w:rsidRPr="00BC4EF2" w:rsidRDefault="000D0CB5" w:rsidP="00BC4EF2">
      <w:pPr>
        <w:pStyle w:val="ListParagraph"/>
        <w:numPr>
          <w:ilvl w:val="0"/>
          <w:numId w:val="16"/>
        </w:numPr>
        <w:rPr>
          <w:rFonts w:asciiTheme="minorHAnsi" w:hAnsiTheme="minorHAnsi" w:cs="Arial"/>
          <w:sz w:val="24"/>
          <w:szCs w:val="24"/>
        </w:rPr>
      </w:pPr>
      <w:r w:rsidRPr="000D0CB5">
        <w:rPr>
          <w:rFonts w:asciiTheme="minorHAnsi" w:hAnsiTheme="minorHAnsi" w:cs="Arial"/>
          <w:sz w:val="24"/>
          <w:szCs w:val="24"/>
        </w:rPr>
        <w:t>There is an agreed protocol or system for the prevention of insertion of the wrong intraocular lens</w:t>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00BC4EF2">
        <w:rPr>
          <w:rFonts w:asciiTheme="minorHAnsi" w:hAnsiTheme="minorHAnsi" w:cs="Arial"/>
          <w:sz w:val="24"/>
          <w:szCs w:val="24"/>
        </w:rPr>
        <w:tab/>
      </w:r>
      <w:r w:rsidRPr="00BC4EF2">
        <w:rPr>
          <w:rFonts w:asciiTheme="minorHAnsi" w:hAnsiTheme="minorHAnsi" w:cs="Arial"/>
          <w:sz w:val="24"/>
          <w:szCs w:val="24"/>
        </w:rPr>
        <w:t xml:space="preserve">YES </w:t>
      </w:r>
      <w:r w:rsidRPr="00BC4EF2">
        <w:rPr>
          <w:rFonts w:asciiTheme="minorHAnsi" w:hAnsiTheme="minorHAnsi" w:cs="Arial"/>
          <w:sz w:val="24"/>
          <w:szCs w:val="24"/>
        </w:rPr>
        <w:fldChar w:fldCharType="begin">
          <w:ffData>
            <w:name w:val="Check1"/>
            <w:enabled/>
            <w:calcOnExit w:val="0"/>
            <w:checkBox>
              <w:sizeAuto/>
              <w:default w:val="0"/>
            </w:checkBox>
          </w:ffData>
        </w:fldChar>
      </w:r>
      <w:r w:rsidRPr="00BC4EF2">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BC4EF2">
        <w:rPr>
          <w:rFonts w:asciiTheme="minorHAnsi" w:hAnsiTheme="minorHAnsi" w:cs="Arial"/>
          <w:sz w:val="24"/>
          <w:szCs w:val="24"/>
        </w:rPr>
        <w:fldChar w:fldCharType="end"/>
      </w:r>
      <w:r w:rsidRPr="00BC4EF2">
        <w:rPr>
          <w:rFonts w:asciiTheme="minorHAnsi" w:hAnsiTheme="minorHAnsi" w:cs="Arial"/>
          <w:sz w:val="24"/>
          <w:szCs w:val="24"/>
        </w:rPr>
        <w:tab/>
        <w:t xml:space="preserve"> </w:t>
      </w:r>
      <w:r w:rsidR="00BC4EF2">
        <w:rPr>
          <w:rFonts w:asciiTheme="minorHAnsi" w:hAnsiTheme="minorHAnsi" w:cs="Arial"/>
          <w:sz w:val="24"/>
          <w:szCs w:val="24"/>
        </w:rPr>
        <w:tab/>
      </w:r>
      <w:r w:rsidRPr="00BC4EF2">
        <w:rPr>
          <w:rFonts w:asciiTheme="minorHAnsi" w:hAnsiTheme="minorHAnsi" w:cs="Arial"/>
          <w:sz w:val="24"/>
          <w:szCs w:val="24"/>
        </w:rPr>
        <w:t xml:space="preserve">NO  </w:t>
      </w:r>
      <w:r w:rsidRPr="00BC4EF2">
        <w:rPr>
          <w:rFonts w:asciiTheme="minorHAnsi" w:hAnsiTheme="minorHAnsi" w:cs="Arial"/>
          <w:sz w:val="24"/>
          <w:szCs w:val="24"/>
        </w:rPr>
        <w:fldChar w:fldCharType="begin">
          <w:ffData>
            <w:name w:val="Check3"/>
            <w:enabled/>
            <w:calcOnExit w:val="0"/>
            <w:checkBox>
              <w:sizeAuto/>
              <w:default w:val="0"/>
            </w:checkBox>
          </w:ffData>
        </w:fldChar>
      </w:r>
      <w:r w:rsidRPr="00BC4EF2">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BC4EF2">
        <w:rPr>
          <w:rFonts w:asciiTheme="minorHAnsi" w:hAnsiTheme="minorHAnsi" w:cs="Arial"/>
          <w:sz w:val="24"/>
          <w:szCs w:val="24"/>
        </w:rPr>
        <w:fldChar w:fldCharType="end"/>
      </w:r>
    </w:p>
    <w:p w:rsidR="000D0CB5" w:rsidRPr="000D0CB5" w:rsidRDefault="000D0CB5" w:rsidP="000D0CB5">
      <w:pPr>
        <w:pStyle w:val="ListParagraph"/>
        <w:numPr>
          <w:ilvl w:val="0"/>
          <w:numId w:val="16"/>
        </w:numPr>
        <w:rPr>
          <w:rFonts w:asciiTheme="minorHAnsi" w:hAnsiTheme="minorHAnsi" w:cs="Arial"/>
          <w:sz w:val="24"/>
          <w:szCs w:val="24"/>
        </w:rPr>
      </w:pPr>
      <w:r w:rsidRPr="000D0CB5">
        <w:rPr>
          <w:rFonts w:asciiTheme="minorHAnsi" w:hAnsiTheme="minorHAnsi" w:cs="Arial"/>
          <w:sz w:val="24"/>
          <w:szCs w:val="24"/>
        </w:rPr>
        <w:t xml:space="preserve">Surgical management of astigmatism is offered to appropriate patients </w:t>
      </w:r>
      <w:bookmarkStart w:id="2" w:name="_GoBack"/>
      <w:bookmarkEnd w:id="2"/>
      <w:r w:rsidRPr="000D0CB5">
        <w:rPr>
          <w:rFonts w:asciiTheme="minorHAnsi" w:hAnsiTheme="minorHAnsi" w:cs="Arial"/>
          <w:sz w:val="24"/>
          <w:szCs w:val="24"/>
        </w:rPr>
        <w:t xml:space="preserve">YES </w:t>
      </w:r>
      <w:r w:rsidRPr="000D0CB5">
        <w:rPr>
          <w:rFonts w:asciiTheme="minorHAnsi" w:hAnsiTheme="minorHAnsi" w:cs="Arial"/>
          <w:sz w:val="24"/>
          <w:szCs w:val="24"/>
        </w:rPr>
        <w:fldChar w:fldCharType="begin">
          <w:ffData>
            <w:name w:val="Check1"/>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r w:rsidRPr="000D0CB5">
        <w:rPr>
          <w:rFonts w:asciiTheme="minorHAnsi" w:hAnsiTheme="minorHAnsi" w:cs="Arial"/>
          <w:sz w:val="24"/>
          <w:szCs w:val="24"/>
        </w:rPr>
        <w:tab/>
        <w:t xml:space="preserve"> NO  </w:t>
      </w:r>
      <w:r w:rsidRPr="000D0CB5">
        <w:rPr>
          <w:rFonts w:asciiTheme="minorHAnsi" w:hAnsiTheme="minorHAnsi" w:cs="Arial"/>
          <w:sz w:val="24"/>
          <w:szCs w:val="24"/>
        </w:rPr>
        <w:fldChar w:fldCharType="begin">
          <w:ffData>
            <w:name w:val="Check3"/>
            <w:enabled/>
            <w:calcOnExit w:val="0"/>
            <w:checkBox>
              <w:sizeAuto/>
              <w:default w:val="0"/>
            </w:checkBox>
          </w:ffData>
        </w:fldChar>
      </w:r>
      <w:r w:rsidRPr="000D0CB5">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0D0CB5">
        <w:rPr>
          <w:rFonts w:asciiTheme="minorHAnsi" w:hAnsiTheme="minorHAnsi" w:cs="Arial"/>
          <w:sz w:val="24"/>
          <w:szCs w:val="24"/>
        </w:rPr>
        <w:fldChar w:fldCharType="end"/>
      </w:r>
    </w:p>
    <w:p w:rsidR="0017169B" w:rsidRDefault="000D0CB5" w:rsidP="000D0CB5">
      <w:pPr>
        <w:rPr>
          <w:rFonts w:asciiTheme="minorHAnsi" w:hAnsiTheme="minorHAnsi" w:cs="Arial"/>
        </w:rPr>
      </w:pPr>
      <w:r w:rsidRPr="00BC4EF2">
        <w:rPr>
          <w:rFonts w:asciiTheme="minorHAnsi" w:hAnsiTheme="minorHAnsi" w:cs="Arial"/>
        </w:rPr>
        <w:t>Evidence / comments:</w:t>
      </w:r>
    </w:p>
    <w:p w:rsidR="0017169B" w:rsidRDefault="0017169B" w:rsidP="000D0CB5">
      <w:pPr>
        <w:rPr>
          <w:rFonts w:asciiTheme="minorHAnsi" w:hAnsiTheme="minorHAnsi" w:cs="Arial"/>
        </w:rPr>
      </w:pPr>
    </w:p>
    <w:p w:rsidR="00BC4EF2" w:rsidRPr="0017169B" w:rsidRDefault="0017169B" w:rsidP="000D0CB5">
      <w:pPr>
        <w:pStyle w:val="ListParagraph"/>
        <w:numPr>
          <w:ilvl w:val="0"/>
          <w:numId w:val="11"/>
        </w:numPr>
        <w:ind w:left="0" w:hanging="284"/>
        <w:rPr>
          <w:rFonts w:asciiTheme="minorHAnsi" w:hAnsiTheme="minorHAnsi" w:cs="Arial"/>
          <w:sz w:val="24"/>
          <w:szCs w:val="24"/>
        </w:rPr>
      </w:pPr>
      <w:r>
        <w:rPr>
          <w:rFonts w:asciiTheme="minorHAnsi" w:hAnsiTheme="minorHAnsi" w:cs="Arial"/>
          <w:sz w:val="24"/>
          <w:szCs w:val="24"/>
        </w:rPr>
        <w:t>Endophthalmitis management.</w:t>
      </w:r>
    </w:p>
    <w:p w:rsidR="000D0CB5" w:rsidRPr="0017169B" w:rsidRDefault="000D0CB5" w:rsidP="000D0CB5">
      <w:pPr>
        <w:rPr>
          <w:rFonts w:asciiTheme="minorHAnsi" w:hAnsiTheme="minorHAnsi" w:cs="Arial"/>
        </w:rPr>
      </w:pPr>
      <w:r w:rsidRPr="0017169B">
        <w:rPr>
          <w:rFonts w:asciiTheme="minorHAnsi" w:hAnsiTheme="minorHAnsi" w:cs="Arial"/>
        </w:rPr>
        <w:t>The unit has clearly documented systems for:</w:t>
      </w:r>
    </w:p>
    <w:p w:rsidR="000D0CB5" w:rsidRPr="0017169B" w:rsidRDefault="000D0CB5" w:rsidP="00BC4EF2">
      <w:pPr>
        <w:pStyle w:val="ListParagraph"/>
        <w:numPr>
          <w:ilvl w:val="0"/>
          <w:numId w:val="18"/>
        </w:numPr>
        <w:rPr>
          <w:rFonts w:asciiTheme="minorHAnsi" w:hAnsiTheme="minorHAnsi" w:cs="Arial"/>
          <w:sz w:val="24"/>
          <w:szCs w:val="24"/>
        </w:rPr>
      </w:pPr>
      <w:r w:rsidRPr="0017169B">
        <w:rPr>
          <w:rFonts w:asciiTheme="minorHAnsi" w:hAnsiTheme="minorHAnsi" w:cs="Arial"/>
          <w:sz w:val="24"/>
          <w:szCs w:val="24"/>
        </w:rPr>
        <w:t xml:space="preserve">the prevention of endophthalmitis </w:t>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Pr="0017169B">
        <w:rPr>
          <w:rFonts w:asciiTheme="minorHAnsi" w:hAnsiTheme="minorHAnsi" w:cs="Arial"/>
          <w:sz w:val="24"/>
          <w:szCs w:val="24"/>
        </w:rPr>
        <w:t xml:space="preserve">YES </w:t>
      </w:r>
      <w:r w:rsidRPr="0017169B">
        <w:rPr>
          <w:rFonts w:asciiTheme="minorHAnsi" w:hAnsiTheme="minorHAnsi" w:cs="Arial"/>
          <w:sz w:val="24"/>
          <w:szCs w:val="24"/>
        </w:rPr>
        <w:fldChar w:fldCharType="begin">
          <w:ffData>
            <w:name w:val="Check1"/>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r w:rsidRPr="0017169B">
        <w:rPr>
          <w:rFonts w:asciiTheme="minorHAnsi" w:hAnsiTheme="minorHAnsi" w:cs="Arial"/>
          <w:sz w:val="24"/>
          <w:szCs w:val="24"/>
        </w:rPr>
        <w:tab/>
        <w:t xml:space="preserve"> </w:t>
      </w:r>
      <w:r w:rsidR="00BC4EF2" w:rsidRPr="0017169B">
        <w:rPr>
          <w:rFonts w:asciiTheme="minorHAnsi" w:hAnsiTheme="minorHAnsi" w:cs="Arial"/>
          <w:sz w:val="24"/>
          <w:szCs w:val="24"/>
        </w:rPr>
        <w:tab/>
      </w:r>
      <w:r w:rsidRPr="0017169B">
        <w:rPr>
          <w:rFonts w:asciiTheme="minorHAnsi" w:hAnsiTheme="minorHAnsi" w:cs="Arial"/>
          <w:sz w:val="24"/>
          <w:szCs w:val="24"/>
        </w:rPr>
        <w:t xml:space="preserve">NO  </w:t>
      </w:r>
      <w:r w:rsidRPr="0017169B">
        <w:rPr>
          <w:rFonts w:asciiTheme="minorHAnsi" w:hAnsiTheme="minorHAnsi" w:cs="Arial"/>
          <w:sz w:val="24"/>
          <w:szCs w:val="24"/>
        </w:rPr>
        <w:fldChar w:fldCharType="begin">
          <w:ffData>
            <w:name w:val="Check3"/>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p>
    <w:p w:rsidR="000D0CB5" w:rsidRPr="0017169B" w:rsidRDefault="000D0CB5" w:rsidP="00BC4EF2">
      <w:pPr>
        <w:pStyle w:val="ListParagraph"/>
        <w:numPr>
          <w:ilvl w:val="0"/>
          <w:numId w:val="18"/>
        </w:numPr>
        <w:rPr>
          <w:rFonts w:asciiTheme="minorHAnsi" w:hAnsiTheme="minorHAnsi" w:cs="Arial"/>
          <w:sz w:val="24"/>
          <w:szCs w:val="24"/>
        </w:rPr>
      </w:pPr>
      <w:r w:rsidRPr="0017169B">
        <w:rPr>
          <w:rFonts w:asciiTheme="minorHAnsi" w:hAnsiTheme="minorHAnsi" w:cs="Arial"/>
          <w:sz w:val="24"/>
          <w:szCs w:val="24"/>
        </w:rPr>
        <w:t xml:space="preserve">monitoring rates of endophthalmitis </w:t>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Pr="0017169B">
        <w:rPr>
          <w:rFonts w:asciiTheme="minorHAnsi" w:hAnsiTheme="minorHAnsi" w:cs="Arial"/>
          <w:sz w:val="24"/>
          <w:szCs w:val="24"/>
        </w:rPr>
        <w:t xml:space="preserve">YES </w:t>
      </w:r>
      <w:r w:rsidRPr="0017169B">
        <w:rPr>
          <w:rFonts w:asciiTheme="minorHAnsi" w:hAnsiTheme="minorHAnsi" w:cs="Arial"/>
          <w:sz w:val="24"/>
          <w:szCs w:val="24"/>
        </w:rPr>
        <w:fldChar w:fldCharType="begin">
          <w:ffData>
            <w:name w:val="Check1"/>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r w:rsidRPr="0017169B">
        <w:rPr>
          <w:rFonts w:asciiTheme="minorHAnsi" w:hAnsiTheme="minorHAnsi" w:cs="Arial"/>
          <w:sz w:val="24"/>
          <w:szCs w:val="24"/>
        </w:rPr>
        <w:tab/>
        <w:t xml:space="preserve"> </w:t>
      </w:r>
      <w:r w:rsidR="00BC4EF2" w:rsidRPr="0017169B">
        <w:rPr>
          <w:rFonts w:asciiTheme="minorHAnsi" w:hAnsiTheme="minorHAnsi" w:cs="Arial"/>
          <w:sz w:val="24"/>
          <w:szCs w:val="24"/>
        </w:rPr>
        <w:tab/>
      </w:r>
      <w:r w:rsidRPr="0017169B">
        <w:rPr>
          <w:rFonts w:asciiTheme="minorHAnsi" w:hAnsiTheme="minorHAnsi" w:cs="Arial"/>
          <w:sz w:val="24"/>
          <w:szCs w:val="24"/>
        </w:rPr>
        <w:t xml:space="preserve">NO  </w:t>
      </w:r>
      <w:r w:rsidRPr="0017169B">
        <w:rPr>
          <w:rFonts w:asciiTheme="minorHAnsi" w:hAnsiTheme="minorHAnsi" w:cs="Arial"/>
          <w:sz w:val="24"/>
          <w:szCs w:val="24"/>
        </w:rPr>
        <w:fldChar w:fldCharType="begin">
          <w:ffData>
            <w:name w:val="Check3"/>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p>
    <w:p w:rsidR="000D0CB5" w:rsidRPr="0017169B" w:rsidRDefault="000D0CB5" w:rsidP="00BC4EF2">
      <w:pPr>
        <w:pStyle w:val="ListParagraph"/>
        <w:numPr>
          <w:ilvl w:val="0"/>
          <w:numId w:val="18"/>
        </w:numPr>
        <w:rPr>
          <w:rFonts w:asciiTheme="minorHAnsi" w:hAnsiTheme="minorHAnsi" w:cs="Arial"/>
          <w:sz w:val="24"/>
          <w:szCs w:val="24"/>
        </w:rPr>
      </w:pPr>
      <w:r w:rsidRPr="0017169B">
        <w:rPr>
          <w:rFonts w:asciiTheme="minorHAnsi" w:hAnsiTheme="minorHAnsi" w:cs="Arial"/>
          <w:sz w:val="24"/>
          <w:szCs w:val="24"/>
        </w:rPr>
        <w:t xml:space="preserve">management of endophthalmitis following cataract surgery </w:t>
      </w:r>
      <w:r w:rsidR="00BC4EF2" w:rsidRPr="0017169B">
        <w:rPr>
          <w:rFonts w:asciiTheme="minorHAnsi" w:hAnsiTheme="minorHAnsi" w:cs="Arial"/>
          <w:sz w:val="24"/>
          <w:szCs w:val="24"/>
        </w:rPr>
        <w:tab/>
      </w:r>
      <w:r w:rsidR="00BC4EF2" w:rsidRPr="0017169B">
        <w:rPr>
          <w:rFonts w:asciiTheme="minorHAnsi" w:hAnsiTheme="minorHAnsi" w:cs="Arial"/>
          <w:sz w:val="24"/>
          <w:szCs w:val="24"/>
        </w:rPr>
        <w:tab/>
      </w:r>
      <w:r w:rsidRPr="0017169B">
        <w:rPr>
          <w:rFonts w:asciiTheme="minorHAnsi" w:hAnsiTheme="minorHAnsi" w:cs="Arial"/>
          <w:sz w:val="24"/>
          <w:szCs w:val="24"/>
        </w:rPr>
        <w:t xml:space="preserve">YES </w:t>
      </w:r>
      <w:r w:rsidRPr="0017169B">
        <w:rPr>
          <w:rFonts w:asciiTheme="minorHAnsi" w:hAnsiTheme="minorHAnsi" w:cs="Arial"/>
          <w:sz w:val="24"/>
          <w:szCs w:val="24"/>
        </w:rPr>
        <w:fldChar w:fldCharType="begin">
          <w:ffData>
            <w:name w:val="Check1"/>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r w:rsidRPr="0017169B">
        <w:rPr>
          <w:rFonts w:asciiTheme="minorHAnsi" w:hAnsiTheme="minorHAnsi" w:cs="Arial"/>
          <w:sz w:val="24"/>
          <w:szCs w:val="24"/>
        </w:rPr>
        <w:tab/>
        <w:t xml:space="preserve"> </w:t>
      </w:r>
      <w:r w:rsidR="00BC4EF2" w:rsidRPr="0017169B">
        <w:rPr>
          <w:rFonts w:asciiTheme="minorHAnsi" w:hAnsiTheme="minorHAnsi" w:cs="Arial"/>
          <w:sz w:val="24"/>
          <w:szCs w:val="24"/>
        </w:rPr>
        <w:tab/>
      </w:r>
      <w:r w:rsidRPr="0017169B">
        <w:rPr>
          <w:rFonts w:asciiTheme="minorHAnsi" w:hAnsiTheme="minorHAnsi" w:cs="Arial"/>
          <w:sz w:val="24"/>
          <w:szCs w:val="24"/>
        </w:rPr>
        <w:t xml:space="preserve">NO  </w:t>
      </w:r>
      <w:r w:rsidRPr="0017169B">
        <w:rPr>
          <w:rFonts w:asciiTheme="minorHAnsi" w:hAnsiTheme="minorHAnsi" w:cs="Arial"/>
          <w:sz w:val="24"/>
          <w:szCs w:val="24"/>
        </w:rPr>
        <w:fldChar w:fldCharType="begin">
          <w:ffData>
            <w:name w:val="Check3"/>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p>
    <w:p w:rsidR="0017169B" w:rsidRPr="0017169B" w:rsidRDefault="000D0CB5" w:rsidP="00BC4EF2">
      <w:pPr>
        <w:pStyle w:val="ListParagraph"/>
        <w:numPr>
          <w:ilvl w:val="0"/>
          <w:numId w:val="18"/>
        </w:numPr>
        <w:rPr>
          <w:rFonts w:asciiTheme="minorHAnsi" w:hAnsiTheme="minorHAnsi" w:cs="Arial"/>
          <w:sz w:val="24"/>
          <w:szCs w:val="24"/>
        </w:rPr>
      </w:pPr>
      <w:r w:rsidRPr="0017169B">
        <w:rPr>
          <w:rFonts w:asciiTheme="minorHAnsi" w:hAnsiTheme="minorHAnsi" w:cs="Arial"/>
          <w:sz w:val="24"/>
          <w:szCs w:val="24"/>
        </w:rPr>
        <w:t xml:space="preserve">identification and management of a possible cluster of cases of endophthalmitis  </w:t>
      </w:r>
    </w:p>
    <w:p w:rsidR="000D0CB5" w:rsidRPr="0017169B" w:rsidRDefault="000D0CB5" w:rsidP="0017169B">
      <w:pPr>
        <w:pStyle w:val="ListParagraph"/>
        <w:ind w:left="6840" w:firstLine="360"/>
        <w:rPr>
          <w:rFonts w:asciiTheme="minorHAnsi" w:hAnsiTheme="minorHAnsi" w:cs="Arial"/>
          <w:sz w:val="24"/>
          <w:szCs w:val="24"/>
        </w:rPr>
      </w:pPr>
      <w:r w:rsidRPr="0017169B">
        <w:rPr>
          <w:rFonts w:asciiTheme="minorHAnsi" w:hAnsiTheme="minorHAnsi" w:cs="Arial"/>
          <w:sz w:val="24"/>
          <w:szCs w:val="24"/>
        </w:rPr>
        <w:t xml:space="preserve">YES </w:t>
      </w:r>
      <w:r w:rsidRPr="0017169B">
        <w:rPr>
          <w:rFonts w:asciiTheme="minorHAnsi" w:hAnsiTheme="minorHAnsi" w:cs="Arial"/>
          <w:sz w:val="24"/>
          <w:szCs w:val="24"/>
        </w:rPr>
        <w:fldChar w:fldCharType="begin">
          <w:ffData>
            <w:name w:val="Check1"/>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r w:rsidRPr="0017169B">
        <w:rPr>
          <w:rFonts w:asciiTheme="minorHAnsi" w:hAnsiTheme="minorHAnsi" w:cs="Arial"/>
          <w:sz w:val="24"/>
          <w:szCs w:val="24"/>
        </w:rPr>
        <w:tab/>
        <w:t xml:space="preserve"> </w:t>
      </w:r>
      <w:r w:rsidR="0017169B" w:rsidRPr="0017169B">
        <w:rPr>
          <w:rFonts w:asciiTheme="minorHAnsi" w:hAnsiTheme="minorHAnsi" w:cs="Arial"/>
          <w:sz w:val="24"/>
          <w:szCs w:val="24"/>
        </w:rPr>
        <w:tab/>
      </w:r>
      <w:r w:rsidRPr="0017169B">
        <w:rPr>
          <w:rFonts w:asciiTheme="minorHAnsi" w:hAnsiTheme="minorHAnsi" w:cs="Arial"/>
          <w:sz w:val="24"/>
          <w:szCs w:val="24"/>
        </w:rPr>
        <w:t xml:space="preserve">NO  </w:t>
      </w:r>
      <w:r w:rsidRPr="0017169B">
        <w:rPr>
          <w:rFonts w:asciiTheme="minorHAnsi" w:hAnsiTheme="minorHAnsi" w:cs="Arial"/>
          <w:sz w:val="24"/>
          <w:szCs w:val="24"/>
        </w:rPr>
        <w:fldChar w:fldCharType="begin">
          <w:ffData>
            <w:name w:val="Check3"/>
            <w:enabled/>
            <w:calcOnExit w:val="0"/>
            <w:checkBox>
              <w:sizeAuto/>
              <w:default w:val="0"/>
            </w:checkBox>
          </w:ffData>
        </w:fldChar>
      </w:r>
      <w:r w:rsidRPr="0017169B">
        <w:rPr>
          <w:rFonts w:asciiTheme="minorHAnsi" w:hAnsiTheme="minorHAnsi" w:cs="Arial"/>
          <w:sz w:val="24"/>
          <w:szCs w:val="24"/>
        </w:rPr>
        <w:instrText xml:space="preserve"> FORMCHECKBOX </w:instrText>
      </w:r>
      <w:r w:rsidR="00BC24DE">
        <w:rPr>
          <w:rFonts w:asciiTheme="minorHAnsi" w:hAnsiTheme="minorHAnsi" w:cs="Arial"/>
          <w:sz w:val="24"/>
          <w:szCs w:val="24"/>
        </w:rPr>
      </w:r>
      <w:r w:rsidR="00BC24DE">
        <w:rPr>
          <w:rFonts w:asciiTheme="minorHAnsi" w:hAnsiTheme="minorHAnsi" w:cs="Arial"/>
          <w:sz w:val="24"/>
          <w:szCs w:val="24"/>
        </w:rPr>
        <w:fldChar w:fldCharType="separate"/>
      </w:r>
      <w:r w:rsidRPr="0017169B">
        <w:rPr>
          <w:rFonts w:asciiTheme="minorHAnsi" w:hAnsiTheme="minorHAnsi" w:cs="Arial"/>
          <w:sz w:val="24"/>
          <w:szCs w:val="24"/>
        </w:rPr>
        <w:fldChar w:fldCharType="end"/>
      </w:r>
    </w:p>
    <w:p w:rsidR="000D0CB5" w:rsidRPr="0017169B" w:rsidRDefault="000D0CB5" w:rsidP="000D0CB5">
      <w:pPr>
        <w:rPr>
          <w:rFonts w:asciiTheme="minorHAnsi" w:hAnsiTheme="minorHAnsi" w:cs="Arial"/>
        </w:rPr>
      </w:pPr>
      <w:r w:rsidRPr="0017169B">
        <w:rPr>
          <w:rFonts w:asciiTheme="minorHAnsi" w:hAnsiTheme="minorHAnsi" w:cs="Arial"/>
        </w:rPr>
        <w:t>Evidence / comments:</w:t>
      </w:r>
    </w:p>
    <w:p w:rsidR="000D0CB5" w:rsidRPr="0017169B" w:rsidRDefault="000D0CB5" w:rsidP="000D0CB5">
      <w:pPr>
        <w:rPr>
          <w:rFonts w:asciiTheme="minorHAnsi" w:hAnsiTheme="minorHAnsi" w:cs="Arial"/>
        </w:rPr>
      </w:pPr>
    </w:p>
    <w:p w:rsidR="000D0CB5" w:rsidRPr="0017169B" w:rsidRDefault="000D0CB5" w:rsidP="000D0CB5">
      <w:pPr>
        <w:rPr>
          <w:rFonts w:asciiTheme="minorHAnsi" w:hAnsiTheme="minorHAnsi" w:cs="Arial"/>
        </w:rPr>
      </w:pPr>
    </w:p>
    <w:p w:rsidR="000D0CB5" w:rsidRPr="0017169B" w:rsidRDefault="000D0CB5" w:rsidP="000D0CB5">
      <w:pPr>
        <w:rPr>
          <w:rFonts w:asciiTheme="minorHAnsi" w:hAnsiTheme="minorHAnsi" w:cs="Arial"/>
        </w:rPr>
      </w:pPr>
      <w:r w:rsidRPr="0017169B">
        <w:rPr>
          <w:rFonts w:asciiTheme="minorHAnsi" w:hAnsiTheme="minorHAnsi" w:cs="Arial"/>
        </w:rPr>
        <w:t>10. Patient have clear written information and a clear, agreed pathway for seeking advice and care for postoperative concerns particularly for possible serious complications (such as retinal detachment, raised intraocular pressure and endophthal</w:t>
      </w:r>
      <w:r w:rsidR="0017169B" w:rsidRPr="0017169B">
        <w:rPr>
          <w:rFonts w:asciiTheme="minorHAnsi" w:hAnsiTheme="minorHAnsi" w:cs="Arial"/>
        </w:rPr>
        <w:t>mitis) both in and out of hours:</w:t>
      </w:r>
    </w:p>
    <w:p w:rsidR="0017169B" w:rsidRPr="000D0CB5" w:rsidRDefault="0017169B" w:rsidP="000D0CB5">
      <w:pPr>
        <w:rPr>
          <w:rFonts w:asciiTheme="minorHAnsi" w:hAnsiTheme="minorHAnsi" w:cs="Arial"/>
        </w:rPr>
      </w:pPr>
    </w:p>
    <w:p w:rsidR="000D0CB5" w:rsidRPr="000D0CB5" w:rsidRDefault="000D0CB5" w:rsidP="0017169B">
      <w:pPr>
        <w:ind w:left="720"/>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r>
      <w:r w:rsidR="0017169B">
        <w:rPr>
          <w:rFonts w:asciiTheme="minorHAnsi" w:hAnsiTheme="minorHAnsi" w:cs="Arial"/>
        </w:rPr>
        <w:tab/>
      </w:r>
      <w:r w:rsidRPr="000D0CB5">
        <w:rPr>
          <w:rFonts w:asciiTheme="minorHAnsi" w:hAnsiTheme="minorHAnsi" w:cs="Arial"/>
        </w:rPr>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Default="000D0CB5" w:rsidP="000D0CB5">
      <w:pPr>
        <w:rPr>
          <w:rFonts w:asciiTheme="minorHAnsi" w:hAnsiTheme="minorHAnsi" w:cs="Arial"/>
        </w:rPr>
      </w:pPr>
      <w:r w:rsidRPr="000D0CB5">
        <w:rPr>
          <w:rFonts w:asciiTheme="minorHAnsi" w:hAnsiTheme="minorHAnsi" w:cs="Arial"/>
        </w:rPr>
        <w:lastRenderedPageBreak/>
        <w:t>Evidence / comments:</w:t>
      </w:r>
    </w:p>
    <w:p w:rsidR="0017169B" w:rsidRDefault="0017169B" w:rsidP="000D0CB5">
      <w:pPr>
        <w:rPr>
          <w:rFonts w:asciiTheme="minorHAnsi" w:hAnsiTheme="minorHAnsi" w:cs="Arial"/>
        </w:rPr>
      </w:pPr>
    </w:p>
    <w:p w:rsidR="0017169B" w:rsidRPr="000D0CB5" w:rsidRDefault="0017169B" w:rsidP="000D0CB5">
      <w:pPr>
        <w:rPr>
          <w:rFonts w:asciiTheme="minorHAnsi" w:hAnsiTheme="minorHAnsi" w:cs="Arial"/>
        </w:rPr>
      </w:pPr>
    </w:p>
    <w:p w:rsidR="000D0CB5" w:rsidRPr="000D0CB5" w:rsidRDefault="000D0CB5" w:rsidP="000D0CB5">
      <w:pPr>
        <w:rPr>
          <w:rFonts w:asciiTheme="minorHAnsi" w:hAnsiTheme="minorHAnsi" w:cs="Arial"/>
        </w:rPr>
      </w:pPr>
    </w:p>
    <w:p w:rsidR="000D0CB5" w:rsidRDefault="000D0CB5" w:rsidP="000D0CB5">
      <w:pPr>
        <w:rPr>
          <w:rFonts w:asciiTheme="minorHAnsi" w:hAnsiTheme="minorHAnsi" w:cs="Arial"/>
        </w:rPr>
      </w:pPr>
      <w:r w:rsidRPr="000D0CB5">
        <w:rPr>
          <w:rFonts w:asciiTheme="minorHAnsi" w:hAnsiTheme="minorHAnsi" w:cs="Arial"/>
        </w:rPr>
        <w:t xml:space="preserve">11. Outcomes of cataract surgery are audited, using recognised standards, and used for quality assurance and to improve services. Outcome audits should be case mix adjusted. If necessary, postoperative data should be obtained from </w:t>
      </w:r>
      <w:r>
        <w:rPr>
          <w:rFonts w:asciiTheme="minorHAnsi" w:hAnsiTheme="minorHAnsi" w:cs="Arial"/>
        </w:rPr>
        <w:t>community optometrists:</w:t>
      </w:r>
    </w:p>
    <w:p w:rsidR="000D0CB5" w:rsidRPr="000D0CB5" w:rsidRDefault="000D0CB5" w:rsidP="000D0CB5">
      <w:pPr>
        <w:rPr>
          <w:rFonts w:asciiTheme="minorHAnsi" w:hAnsiTheme="minorHAnsi" w:cs="Arial"/>
        </w:rPr>
      </w:pPr>
    </w:p>
    <w:p w:rsidR="000D0CB5" w:rsidRPr="000D0CB5" w:rsidRDefault="000D0CB5" w:rsidP="000D0CB5">
      <w:pPr>
        <w:pStyle w:val="ListParagraph"/>
        <w:numPr>
          <w:ilvl w:val="0"/>
          <w:numId w:val="17"/>
        </w:numPr>
        <w:rPr>
          <w:rFonts w:asciiTheme="minorHAnsi" w:hAnsiTheme="minorHAnsi" w:cs="Arial"/>
        </w:rPr>
      </w:pPr>
      <w:r w:rsidRPr="000D0CB5">
        <w:rPr>
          <w:rFonts w:asciiTheme="minorHAnsi" w:hAnsiTheme="minorHAnsi" w:cs="Arial"/>
        </w:rPr>
        <w:t>PCR rates</w:t>
      </w:r>
      <w:r w:rsidRPr="000D0CB5">
        <w:rPr>
          <w:rFonts w:asciiTheme="minorHAnsi" w:hAnsiTheme="minorHAnsi" w:cs="Arial"/>
        </w:rPr>
        <w:tab/>
      </w:r>
      <w:r w:rsidRPr="000D0CB5">
        <w:rPr>
          <w:rFonts w:asciiTheme="minorHAnsi" w:hAnsiTheme="minorHAnsi" w:cs="Arial"/>
        </w:rPr>
        <w:tab/>
      </w:r>
      <w:r w:rsidRPr="000D0CB5">
        <w:rPr>
          <w:rFonts w:asciiTheme="minorHAnsi" w:hAnsiTheme="minorHAnsi" w:cs="Arial"/>
        </w:rPr>
        <w:tab/>
      </w:r>
      <w:r w:rsidRPr="000D0CB5">
        <w:rPr>
          <w:rFonts w:asciiTheme="minorHAnsi" w:hAnsiTheme="minorHAnsi" w:cs="Arial"/>
        </w:rPr>
        <w:tab/>
      </w:r>
      <w:r w:rsidRPr="000D0CB5">
        <w:rPr>
          <w:rFonts w:asciiTheme="minorHAnsi" w:hAnsiTheme="minorHAnsi" w:cs="Arial"/>
        </w:rPr>
        <w:tab/>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pStyle w:val="ListParagraph"/>
        <w:numPr>
          <w:ilvl w:val="0"/>
          <w:numId w:val="17"/>
        </w:numPr>
        <w:rPr>
          <w:rFonts w:asciiTheme="minorHAnsi" w:hAnsiTheme="minorHAnsi" w:cs="Arial"/>
        </w:rPr>
      </w:pPr>
      <w:r w:rsidRPr="000D0CB5">
        <w:rPr>
          <w:rFonts w:asciiTheme="minorHAnsi" w:hAnsiTheme="minorHAnsi" w:cs="Arial"/>
        </w:rPr>
        <w:t>Visual acuity results</w:t>
      </w:r>
      <w:r w:rsidRPr="000D0CB5">
        <w:rPr>
          <w:rFonts w:asciiTheme="minorHAnsi" w:hAnsiTheme="minorHAnsi" w:cs="Arial"/>
        </w:rPr>
        <w:tab/>
      </w:r>
      <w:r w:rsidRPr="000D0CB5">
        <w:rPr>
          <w:rFonts w:asciiTheme="minorHAnsi" w:hAnsiTheme="minorHAnsi" w:cs="Arial"/>
        </w:rPr>
        <w:tab/>
      </w:r>
      <w:r w:rsidRPr="000D0CB5">
        <w:rPr>
          <w:rFonts w:asciiTheme="minorHAnsi" w:hAnsiTheme="minorHAnsi" w:cs="Arial"/>
        </w:rPr>
        <w:tab/>
      </w:r>
      <w:r w:rsidRPr="000D0CB5">
        <w:rPr>
          <w:rFonts w:asciiTheme="minorHAnsi" w:hAnsiTheme="minorHAnsi" w:cs="Arial"/>
        </w:rPr>
        <w:tab/>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pStyle w:val="ListParagraph"/>
        <w:numPr>
          <w:ilvl w:val="0"/>
          <w:numId w:val="17"/>
        </w:numPr>
        <w:rPr>
          <w:rFonts w:asciiTheme="minorHAnsi" w:hAnsiTheme="minorHAnsi" w:cs="Arial"/>
        </w:rPr>
      </w:pPr>
      <w:r w:rsidRPr="000D0CB5">
        <w:rPr>
          <w:rFonts w:asciiTheme="minorHAnsi" w:hAnsiTheme="minorHAnsi" w:cs="Arial"/>
        </w:rPr>
        <w:t>Refractive results actual vs intended</w:t>
      </w:r>
      <w:r w:rsidRPr="000D0CB5">
        <w:rPr>
          <w:rFonts w:asciiTheme="minorHAnsi" w:hAnsiTheme="minorHAnsi" w:cs="Arial"/>
        </w:rPr>
        <w:tab/>
      </w:r>
      <w:r w:rsidRPr="000D0CB5">
        <w:rPr>
          <w:rFonts w:asciiTheme="minorHAnsi" w:hAnsiTheme="minorHAnsi" w:cs="Arial"/>
        </w:rPr>
        <w:tab/>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pStyle w:val="ListParagraph"/>
        <w:rPr>
          <w:rFonts w:asciiTheme="minorHAnsi" w:hAnsiTheme="minorHAnsi" w:cs="Arial"/>
          <w:sz w:val="24"/>
          <w:szCs w:val="24"/>
        </w:rPr>
      </w:pPr>
    </w:p>
    <w:p w:rsidR="000D0CB5" w:rsidRDefault="000D0CB5" w:rsidP="000D0CB5">
      <w:pPr>
        <w:rPr>
          <w:rFonts w:asciiTheme="minorHAnsi" w:hAnsiTheme="minorHAnsi" w:cs="Arial"/>
        </w:rPr>
      </w:pPr>
      <w:r w:rsidRPr="000D0CB5">
        <w:rPr>
          <w:rFonts w:asciiTheme="minorHAnsi" w:hAnsiTheme="minorHAnsi" w:cs="Arial"/>
          <w:color w:val="000000"/>
        </w:rPr>
        <w:t>Departmental data is analysed and benchmarked using the cataract national dataset or equivalent (e.g. submitted to the national ophthalmic audit) and used to improve quality</w:t>
      </w:r>
      <w:r>
        <w:rPr>
          <w:rFonts w:asciiTheme="minorHAnsi" w:hAnsiTheme="minorHAnsi" w:cs="Arial"/>
        </w:rPr>
        <w:t>:</w:t>
      </w:r>
    </w:p>
    <w:p w:rsidR="000D0CB5" w:rsidRDefault="000D0CB5" w:rsidP="000D0CB5">
      <w:pPr>
        <w:rPr>
          <w:rFonts w:asciiTheme="minorHAnsi" w:hAnsiTheme="minorHAnsi" w:cs="Arial"/>
        </w:rPr>
      </w:pPr>
    </w:p>
    <w:p w:rsidR="000D0CB5" w:rsidRPr="000D0CB5" w:rsidRDefault="000D0CB5" w:rsidP="000D0CB5">
      <w:pPr>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 </w:t>
      </w:r>
      <w:r>
        <w:rPr>
          <w:rFonts w:asciiTheme="minorHAnsi" w:hAnsiTheme="minorHAnsi" w:cs="Arial"/>
        </w:rPr>
        <w:tab/>
      </w:r>
      <w:r w:rsidRPr="000D0CB5">
        <w:rPr>
          <w:rFonts w:asciiTheme="minorHAnsi" w:hAnsiTheme="minorHAnsi" w:cs="Arial"/>
        </w:rPr>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rPr>
          <w:rFonts w:asciiTheme="minorHAnsi" w:hAnsiTheme="minorHAnsi" w:cs="Arial"/>
        </w:rPr>
      </w:pPr>
    </w:p>
    <w:p w:rsidR="000D0CB5" w:rsidRDefault="000D0CB5" w:rsidP="000D0CB5">
      <w:pPr>
        <w:rPr>
          <w:rFonts w:asciiTheme="minorHAnsi" w:hAnsiTheme="minorHAnsi" w:cs="Arial"/>
        </w:rPr>
      </w:pPr>
      <w:r w:rsidRPr="000D0CB5">
        <w:rPr>
          <w:rFonts w:asciiTheme="minorHAnsi" w:hAnsiTheme="minorHAnsi" w:cs="Arial"/>
        </w:rPr>
        <w:t>Individual surgeon audit data is used for appraisal / performance manage</w:t>
      </w:r>
      <w:r>
        <w:rPr>
          <w:rFonts w:asciiTheme="minorHAnsi" w:hAnsiTheme="minorHAnsi" w:cs="Arial"/>
        </w:rPr>
        <w:t>ment</w:t>
      </w:r>
    </w:p>
    <w:p w:rsidR="000D0CB5" w:rsidRDefault="000D0CB5" w:rsidP="000D0CB5">
      <w:pPr>
        <w:rPr>
          <w:rFonts w:asciiTheme="minorHAnsi" w:hAnsiTheme="minorHAnsi" w:cs="Arial"/>
        </w:rPr>
      </w:pPr>
    </w:p>
    <w:p w:rsidR="000D0CB5" w:rsidRPr="000D0CB5" w:rsidRDefault="000D0CB5" w:rsidP="000D0CB5">
      <w:pPr>
        <w:rPr>
          <w:rFonts w:asciiTheme="minorHAnsi" w:hAnsiTheme="minorHAnsi" w:cs="Arial"/>
        </w:rPr>
      </w:pPr>
      <w:r w:rsidRPr="000D0CB5">
        <w:rPr>
          <w:rFonts w:asciiTheme="minorHAnsi" w:hAnsiTheme="minorHAnsi" w:cs="Arial"/>
        </w:rPr>
        <w:t xml:space="preserve">YES  </w:t>
      </w:r>
      <w:r w:rsidRPr="000D0CB5">
        <w:rPr>
          <w:rFonts w:asciiTheme="minorHAnsi" w:hAnsiTheme="minorHAnsi" w:cs="Arial"/>
        </w:rPr>
        <w:fldChar w:fldCharType="begin">
          <w:ffData>
            <w:name w:val="Check1"/>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r w:rsidRPr="000D0CB5">
        <w:rPr>
          <w:rFonts w:asciiTheme="minorHAnsi" w:hAnsiTheme="minorHAnsi" w:cs="Arial"/>
        </w:rPr>
        <w:tab/>
        <w:t xml:space="preserve">NO  </w:t>
      </w:r>
      <w:r w:rsidRPr="000D0CB5">
        <w:rPr>
          <w:rFonts w:asciiTheme="minorHAnsi" w:hAnsiTheme="minorHAnsi" w:cs="Arial"/>
        </w:rPr>
        <w:fldChar w:fldCharType="begin">
          <w:ffData>
            <w:name w:val="Check3"/>
            <w:enabled/>
            <w:calcOnExit w:val="0"/>
            <w:checkBox>
              <w:sizeAuto/>
              <w:default w:val="0"/>
            </w:checkBox>
          </w:ffData>
        </w:fldChar>
      </w:r>
      <w:r w:rsidRPr="000D0CB5">
        <w:rPr>
          <w:rFonts w:asciiTheme="minorHAnsi" w:hAnsiTheme="minorHAnsi" w:cs="Arial"/>
        </w:rPr>
        <w:instrText xml:space="preserve"> FORMCHECKBOX </w:instrText>
      </w:r>
      <w:r w:rsidR="00BC24DE">
        <w:rPr>
          <w:rFonts w:asciiTheme="minorHAnsi" w:hAnsiTheme="minorHAnsi" w:cs="Arial"/>
        </w:rPr>
      </w:r>
      <w:r w:rsidR="00BC24DE">
        <w:rPr>
          <w:rFonts w:asciiTheme="minorHAnsi" w:hAnsiTheme="minorHAnsi" w:cs="Arial"/>
        </w:rPr>
        <w:fldChar w:fldCharType="separate"/>
      </w:r>
      <w:r w:rsidRPr="000D0CB5">
        <w:rPr>
          <w:rFonts w:asciiTheme="minorHAnsi" w:hAnsiTheme="minorHAnsi" w:cs="Arial"/>
        </w:rPr>
        <w:fldChar w:fldCharType="end"/>
      </w:r>
    </w:p>
    <w:p w:rsidR="000D0CB5" w:rsidRPr="000D0CB5" w:rsidRDefault="000D0CB5" w:rsidP="000D0CB5">
      <w:pPr>
        <w:rPr>
          <w:rFonts w:asciiTheme="minorHAnsi" w:hAnsiTheme="minorHAnsi" w:cs="Arial"/>
        </w:rPr>
      </w:pPr>
    </w:p>
    <w:p w:rsidR="000D0CB5" w:rsidRDefault="000D0CB5" w:rsidP="000D0CB5">
      <w:pPr>
        <w:rPr>
          <w:rFonts w:asciiTheme="minorHAnsi" w:hAnsiTheme="minorHAnsi" w:cs="Arial"/>
        </w:rPr>
      </w:pPr>
      <w:r w:rsidRPr="000D0CB5">
        <w:rPr>
          <w:rFonts w:asciiTheme="minorHAnsi" w:hAnsiTheme="minorHAnsi" w:cs="Arial"/>
        </w:rPr>
        <w:t>Evidence / comments:</w:t>
      </w:r>
    </w:p>
    <w:p w:rsidR="000D0CB5" w:rsidRPr="000D0CB5" w:rsidRDefault="000D0CB5" w:rsidP="000D0CB5">
      <w:pPr>
        <w:rPr>
          <w:rFonts w:asciiTheme="minorHAnsi" w:hAnsiTheme="minorHAnsi" w:cs="Arial"/>
        </w:rPr>
      </w:pPr>
    </w:p>
    <w:p w:rsidR="000D0CB5" w:rsidRPr="000D0CB5" w:rsidRDefault="000D0CB5" w:rsidP="000D0CB5">
      <w:pPr>
        <w:rPr>
          <w:rFonts w:asciiTheme="minorHAnsi" w:hAnsiTheme="minorHAnsi" w:cs="Arial"/>
        </w:rPr>
      </w:pPr>
    </w:p>
    <w:p w:rsidR="00E76B0D" w:rsidRPr="00E76B0D" w:rsidRDefault="00E76B0D" w:rsidP="006B4E8F">
      <w:pPr>
        <w:pStyle w:val="Heading1"/>
      </w:pPr>
      <w:r w:rsidRPr="00E76B0D">
        <w:t>Action Plan</w:t>
      </w:r>
    </w:p>
    <w:p w:rsidR="00E76B0D" w:rsidRPr="00E76B0D" w:rsidRDefault="00E76B0D" w:rsidP="00E76B0D">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E76B0D" w:rsidRPr="006B4E8F" w:rsidTr="006B4E8F">
        <w:tc>
          <w:tcPr>
            <w:tcW w:w="2972"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Issue identified</w:t>
            </w:r>
          </w:p>
        </w:tc>
        <w:tc>
          <w:tcPr>
            <w:tcW w:w="2835"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Action to be taken</w:t>
            </w:r>
          </w:p>
        </w:tc>
        <w:tc>
          <w:tcPr>
            <w:tcW w:w="1701"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Who will lead action</w:t>
            </w:r>
          </w:p>
        </w:tc>
        <w:tc>
          <w:tcPr>
            <w:tcW w:w="1559"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Date for completion</w:t>
            </w: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bl>
    <w:p w:rsidR="00E76B0D" w:rsidRP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p>
    <w:p w:rsidR="00E76B0D" w:rsidRPr="00E76B0D" w:rsidRDefault="00E76B0D" w:rsidP="00DB3108">
      <w:pPr>
        <w:ind w:left="2160" w:hanging="2160"/>
        <w:rPr>
          <w:rFonts w:asciiTheme="minorHAnsi" w:hAnsiTheme="minorHAnsi"/>
          <w:b/>
        </w:rPr>
      </w:pPr>
    </w:p>
    <w:sectPr w:rsidR="00E76B0D" w:rsidRPr="00E76B0D"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BC24DE">
          <w:rPr>
            <w:noProof/>
          </w:rPr>
          <w:t>4</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0D0CB5" w:rsidP="00DA24D3">
    <w:pPr>
      <w:pStyle w:val="Header"/>
      <w:rPr>
        <w:rFonts w:ascii="Arial" w:hAnsi="Arial" w:cs="Arial"/>
        <w:color w:val="9966FF"/>
        <w:sz w:val="36"/>
      </w:rPr>
    </w:pPr>
    <w:r>
      <w:rPr>
        <w:rFonts w:ascii="Arial" w:hAnsi="Arial" w:cs="Arial"/>
        <w:color w:val="9966FF"/>
        <w:sz w:val="36"/>
      </w:rPr>
      <w:t>Cataract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0A9B"/>
    <w:multiLevelType w:val="hybridMultilevel"/>
    <w:tmpl w:val="F60A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4F2B94"/>
    <w:multiLevelType w:val="hybridMultilevel"/>
    <w:tmpl w:val="067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8902220"/>
    <w:multiLevelType w:val="hybridMultilevel"/>
    <w:tmpl w:val="CC34A6C2"/>
    <w:lvl w:ilvl="0" w:tplc="0CF0A21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66420E"/>
    <w:multiLevelType w:val="hybridMultilevel"/>
    <w:tmpl w:val="91E2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256231"/>
    <w:multiLevelType w:val="hybridMultilevel"/>
    <w:tmpl w:val="241C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95E8C"/>
    <w:multiLevelType w:val="hybridMultilevel"/>
    <w:tmpl w:val="E9449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13"/>
  </w:num>
  <w:num w:numId="5">
    <w:abstractNumId w:val="8"/>
  </w:num>
  <w:num w:numId="6">
    <w:abstractNumId w:val="0"/>
  </w:num>
  <w:num w:numId="7">
    <w:abstractNumId w:val="10"/>
  </w:num>
  <w:num w:numId="8">
    <w:abstractNumId w:val="4"/>
  </w:num>
  <w:num w:numId="9">
    <w:abstractNumId w:val="3"/>
  </w:num>
  <w:num w:numId="10">
    <w:abstractNumId w:val="16"/>
  </w:num>
  <w:num w:numId="11">
    <w:abstractNumId w:val="9"/>
  </w:num>
  <w:num w:numId="12">
    <w:abstractNumId w:val="18"/>
  </w:num>
  <w:num w:numId="13">
    <w:abstractNumId w:val="7"/>
  </w:num>
  <w:num w:numId="14">
    <w:abstractNumId w:val="15"/>
  </w:num>
  <w:num w:numId="15">
    <w:abstractNumId w:val="11"/>
  </w:num>
  <w:num w:numId="16">
    <w:abstractNumId w:val="12"/>
  </w:num>
  <w:num w:numId="17">
    <w:abstractNumId w:val="5"/>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D0CB5"/>
    <w:rsid w:val="001169DD"/>
    <w:rsid w:val="0017169B"/>
    <w:rsid w:val="00284457"/>
    <w:rsid w:val="003220E5"/>
    <w:rsid w:val="00393A0F"/>
    <w:rsid w:val="003B2B89"/>
    <w:rsid w:val="0040001F"/>
    <w:rsid w:val="00424B2F"/>
    <w:rsid w:val="004A4F3C"/>
    <w:rsid w:val="004E62F9"/>
    <w:rsid w:val="004F5530"/>
    <w:rsid w:val="004F56B8"/>
    <w:rsid w:val="00544666"/>
    <w:rsid w:val="005578F0"/>
    <w:rsid w:val="00594EEA"/>
    <w:rsid w:val="0064363C"/>
    <w:rsid w:val="00672217"/>
    <w:rsid w:val="00680D1F"/>
    <w:rsid w:val="006A2187"/>
    <w:rsid w:val="006B4E8F"/>
    <w:rsid w:val="006B5607"/>
    <w:rsid w:val="006C33DB"/>
    <w:rsid w:val="006E1F0F"/>
    <w:rsid w:val="006F3ED2"/>
    <w:rsid w:val="00730B9A"/>
    <w:rsid w:val="00732F60"/>
    <w:rsid w:val="007B2D8E"/>
    <w:rsid w:val="00837C74"/>
    <w:rsid w:val="00886BD6"/>
    <w:rsid w:val="008942E7"/>
    <w:rsid w:val="009A52B1"/>
    <w:rsid w:val="009F6C7D"/>
    <w:rsid w:val="00A40745"/>
    <w:rsid w:val="00AF6752"/>
    <w:rsid w:val="00BC24DE"/>
    <w:rsid w:val="00BC4EF2"/>
    <w:rsid w:val="00BF5D05"/>
    <w:rsid w:val="00C85545"/>
    <w:rsid w:val="00C95A84"/>
    <w:rsid w:val="00CC2717"/>
    <w:rsid w:val="00CC61FE"/>
    <w:rsid w:val="00D07BC2"/>
    <w:rsid w:val="00D448CD"/>
    <w:rsid w:val="00D75E25"/>
    <w:rsid w:val="00DA24D3"/>
    <w:rsid w:val="00DB3108"/>
    <w:rsid w:val="00E76B0D"/>
    <w:rsid w:val="00EA6503"/>
    <w:rsid w:val="00EE21E3"/>
    <w:rsid w:val="00F40713"/>
    <w:rsid w:val="00F61C01"/>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7105BF5"/>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4D3B-9D7D-45B7-A46A-5C0AE852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7</cp:revision>
  <dcterms:created xsi:type="dcterms:W3CDTF">2016-12-20T10:25:00Z</dcterms:created>
  <dcterms:modified xsi:type="dcterms:W3CDTF">2016-12-22T09:26:00Z</dcterms:modified>
</cp:coreProperties>
</file>