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A83" w:rsidRPr="001D2EDE" w:rsidRDefault="004B0A83" w:rsidP="004B0A83">
      <w:pPr>
        <w:pStyle w:val="Header"/>
        <w:rPr>
          <w:rFonts w:asciiTheme="minorHAnsi" w:hAnsiTheme="minorHAnsi" w:cs="Arial"/>
          <w:b/>
          <w:color w:val="808080" w:themeColor="background1" w:themeShade="80"/>
          <w:sz w:val="28"/>
        </w:rPr>
      </w:pPr>
      <w:r w:rsidRPr="001D2EDE">
        <w:rPr>
          <w:rFonts w:asciiTheme="minorHAnsi" w:hAnsiTheme="minorHAnsi" w:cs="Arial"/>
          <w:b/>
          <w:color w:val="808080" w:themeColor="background1" w:themeShade="80"/>
          <w:sz w:val="28"/>
        </w:rPr>
        <w:t xml:space="preserve">Ophthalmology: Support document for commissioners </w:t>
      </w:r>
    </w:p>
    <w:p w:rsidR="004B0A83" w:rsidRPr="001D2EDE" w:rsidRDefault="004B0A83" w:rsidP="004B0A83">
      <w:pPr>
        <w:pStyle w:val="Header"/>
        <w:rPr>
          <w:rFonts w:asciiTheme="minorHAnsi" w:hAnsiTheme="minorHAnsi" w:cs="Arial"/>
          <w:b/>
          <w:color w:val="808080" w:themeColor="background1" w:themeShade="80"/>
          <w:sz w:val="28"/>
        </w:rPr>
      </w:pPr>
      <w:r w:rsidRPr="001D2EDE">
        <w:rPr>
          <w:rFonts w:asciiTheme="minorHAnsi" w:hAnsiTheme="minorHAnsi" w:cs="Arial"/>
          <w:b/>
          <w:color w:val="808080" w:themeColor="background1" w:themeShade="80"/>
          <w:sz w:val="28"/>
        </w:rPr>
        <w:t>through CCGs, STPs and regional reconfigurations</w:t>
      </w:r>
    </w:p>
    <w:p w:rsidR="004B0A83" w:rsidRDefault="004B0A83" w:rsidP="004B0A83">
      <w:pPr>
        <w:shd w:val="clear" w:color="auto" w:fill="FFFFFF"/>
        <w:spacing w:after="120" w:line="276" w:lineRule="auto"/>
        <w:rPr>
          <w:rFonts w:asciiTheme="minorHAnsi" w:hAnsiTheme="minorHAnsi" w:cs="Arial"/>
          <w:bCs/>
          <w:color w:val="222222"/>
          <w:sz w:val="28"/>
          <w:szCs w:val="28"/>
        </w:rPr>
      </w:pPr>
    </w:p>
    <w:p w:rsidR="004B0A83" w:rsidRPr="001D2EDE" w:rsidRDefault="004B0A83" w:rsidP="004B0A83">
      <w:pPr>
        <w:shd w:val="clear" w:color="auto" w:fill="FFFFFF"/>
        <w:spacing w:after="120" w:line="276" w:lineRule="auto"/>
        <w:rPr>
          <w:rFonts w:asciiTheme="minorHAnsi" w:hAnsiTheme="minorHAnsi" w:cs="Arial"/>
          <w:b/>
          <w:bCs/>
          <w:color w:val="767171" w:themeColor="background2" w:themeShade="80"/>
          <w:sz w:val="28"/>
          <w:szCs w:val="28"/>
        </w:rPr>
      </w:pPr>
      <w:r w:rsidRPr="001D2EDE">
        <w:rPr>
          <w:rFonts w:asciiTheme="minorHAnsi" w:hAnsiTheme="minorHAnsi" w:cs="Arial"/>
          <w:b/>
          <w:bCs/>
          <w:color w:val="767171" w:themeColor="background2" w:themeShade="80"/>
          <w:sz w:val="28"/>
          <w:szCs w:val="28"/>
        </w:rPr>
        <w:t>Appendix 1</w:t>
      </w:r>
    </w:p>
    <w:p w:rsidR="004B0A83" w:rsidRDefault="004B0A83" w:rsidP="004B0A83">
      <w:pPr>
        <w:spacing w:after="120" w:line="276" w:lineRule="auto"/>
        <w:rPr>
          <w:rFonts w:asciiTheme="minorHAnsi" w:hAnsiTheme="minorHAnsi" w:cs="Arial"/>
          <w:color w:val="808080" w:themeColor="background1" w:themeShade="80"/>
          <w:sz w:val="28"/>
          <w:szCs w:val="28"/>
        </w:rPr>
      </w:pPr>
      <w:r>
        <w:rPr>
          <w:rFonts w:asciiTheme="minorHAnsi" w:hAnsiTheme="minorHAnsi" w:cs="Arial"/>
          <w:color w:val="808080" w:themeColor="background1" w:themeShade="80"/>
          <w:sz w:val="28"/>
          <w:szCs w:val="28"/>
        </w:rPr>
        <w:t>Examples of new ways of providing care</w:t>
      </w:r>
    </w:p>
    <w:p w:rsidR="004B0A83" w:rsidRDefault="004B0A83" w:rsidP="004B0A83">
      <w:pPr>
        <w:spacing w:after="120" w:line="276" w:lineRule="auto"/>
        <w:rPr>
          <w:rFonts w:asciiTheme="minorHAnsi" w:hAnsiTheme="minorHAnsi" w:cs="Arial"/>
          <w:color w:val="808080" w:themeColor="background1" w:themeShade="80"/>
          <w:sz w:val="28"/>
          <w:szCs w:val="28"/>
        </w:rPr>
      </w:pPr>
    </w:p>
    <w:p w:rsidR="004B0A83" w:rsidRPr="00105A4E" w:rsidRDefault="004B0A83" w:rsidP="004B0A83">
      <w:pPr>
        <w:spacing w:after="120" w:line="276" w:lineRule="auto"/>
        <w:rPr>
          <w:rFonts w:asciiTheme="minorHAnsi" w:hAnsiTheme="minorHAnsi" w:cs="Arial"/>
          <w:b/>
        </w:rPr>
      </w:pPr>
      <w:r w:rsidRPr="00105A4E">
        <w:rPr>
          <w:rFonts w:asciiTheme="minorHAnsi" w:hAnsiTheme="minorHAnsi" w:cs="Arial"/>
          <w:b/>
        </w:rPr>
        <w:t>Referral refinement</w:t>
      </w:r>
    </w:p>
    <w:p w:rsidR="004B0A83" w:rsidRPr="00105A4E" w:rsidRDefault="004B0A83" w:rsidP="004B0A83">
      <w:pPr>
        <w:spacing w:after="120" w:line="276" w:lineRule="auto"/>
        <w:rPr>
          <w:rFonts w:asciiTheme="minorHAnsi" w:hAnsiTheme="minorHAnsi" w:cs="Arial"/>
        </w:rPr>
      </w:pPr>
      <w:r w:rsidRPr="00105A4E">
        <w:rPr>
          <w:rFonts w:asciiTheme="minorHAnsi" w:hAnsiTheme="minorHAnsi" w:cs="Arial"/>
        </w:rPr>
        <w:t>More than 50% of referrals from the diabetic</w:t>
      </w:r>
      <w:r>
        <w:rPr>
          <w:rFonts w:asciiTheme="minorHAnsi" w:hAnsiTheme="minorHAnsi" w:cs="Arial"/>
        </w:rPr>
        <w:t xml:space="preserve"> retinal screening service are </w:t>
      </w:r>
      <w:r w:rsidRPr="00105A4E">
        <w:rPr>
          <w:rFonts w:asciiTheme="minorHAnsi" w:hAnsiTheme="minorHAnsi" w:cs="Arial"/>
        </w:rPr>
        <w:t>considered false positives (low risk maculopathy). Automatic grading has been shown to be effective and has promise to reduce workload. Services using OCT screening reduce referrals and patients can be followed up in the community</w:t>
      </w:r>
    </w:p>
    <w:p w:rsidR="004B0A83" w:rsidRPr="00105A4E" w:rsidRDefault="004B0A83" w:rsidP="004B0A83">
      <w:pPr>
        <w:spacing w:before="100" w:beforeAutospacing="1" w:after="100" w:afterAutospacing="1"/>
        <w:rPr>
          <w:rFonts w:asciiTheme="minorHAnsi" w:eastAsiaTheme="minorHAnsi" w:hAnsiTheme="minorHAnsi"/>
          <w:lang w:eastAsia="en-US"/>
        </w:rPr>
      </w:pPr>
      <w:r w:rsidRPr="00105A4E">
        <w:rPr>
          <w:rFonts w:asciiTheme="minorHAnsi" w:eastAsiaTheme="minorHAnsi" w:hAnsiTheme="minorHAnsi"/>
          <w:b/>
          <w:bCs/>
          <w:lang w:eastAsia="en-US"/>
        </w:rPr>
        <w:t xml:space="preserve">Virtual Clinics </w:t>
      </w:r>
    </w:p>
    <w:p w:rsidR="004B0A83" w:rsidRPr="00105A4E" w:rsidRDefault="004B0A83" w:rsidP="004B0A83">
      <w:pPr>
        <w:spacing w:before="100" w:beforeAutospacing="1" w:after="100" w:afterAutospacing="1"/>
        <w:rPr>
          <w:rFonts w:asciiTheme="minorHAnsi" w:eastAsiaTheme="minorHAnsi" w:hAnsiTheme="minorHAnsi"/>
          <w:lang w:eastAsia="en-US"/>
        </w:rPr>
      </w:pPr>
      <w:r w:rsidRPr="00105A4E">
        <w:rPr>
          <w:rFonts w:asciiTheme="minorHAnsi" w:eastAsiaTheme="minorHAnsi" w:hAnsiTheme="minorHAnsi"/>
          <w:lang w:eastAsia="en-US"/>
        </w:rPr>
        <w:t xml:space="preserve">Virtual review of glaucoma and age related macular degeneration patients </w:t>
      </w:r>
      <w:r w:rsidR="00E262EE">
        <w:rPr>
          <w:rFonts w:asciiTheme="minorHAnsi" w:eastAsiaTheme="minorHAnsi" w:hAnsiTheme="minorHAnsi"/>
          <w:lang w:eastAsia="en-US"/>
        </w:rPr>
        <w:t>is becoming</w:t>
      </w:r>
      <w:r>
        <w:rPr>
          <w:rFonts w:asciiTheme="minorHAnsi" w:eastAsiaTheme="minorHAnsi" w:hAnsiTheme="minorHAnsi"/>
          <w:lang w:eastAsia="en-US"/>
        </w:rPr>
        <w:t xml:space="preserve"> </w:t>
      </w:r>
      <w:bookmarkStart w:id="0" w:name="_GoBack"/>
      <w:bookmarkEnd w:id="0"/>
      <w:r w:rsidRPr="00105A4E">
        <w:rPr>
          <w:rFonts w:asciiTheme="minorHAnsi" w:eastAsiaTheme="minorHAnsi" w:hAnsiTheme="minorHAnsi"/>
          <w:lang w:eastAsia="en-US"/>
        </w:rPr>
        <w:t xml:space="preserve">increasingly common.  Patients may be seen solely by technicians or non-medical HCPs and the information gathered through examination and imaging is viewed remotely by the ophthalmologist who does not routinely see the patient. </w:t>
      </w:r>
      <w:hyperlink r:id="rId4" w:history="1">
        <w:r w:rsidR="00E262EE" w:rsidRPr="004F0B25">
          <w:rPr>
            <w:rStyle w:val="Hyperlink"/>
            <w:rFonts w:asciiTheme="minorHAnsi" w:eastAsiaTheme="minorHAnsi" w:hAnsiTheme="minorHAnsi"/>
            <w:lang w:eastAsia="en-US"/>
          </w:rPr>
          <w:t>https://www.rcophth.ac.uk/standards-publications-research/the-way-forward/</w:t>
        </w:r>
      </w:hyperlink>
    </w:p>
    <w:p w:rsidR="004B0A83" w:rsidRPr="00105A4E" w:rsidRDefault="004B0A83" w:rsidP="004B0A83">
      <w:pPr>
        <w:spacing w:before="100" w:beforeAutospacing="1" w:after="100" w:afterAutospacing="1"/>
        <w:rPr>
          <w:rFonts w:asciiTheme="minorHAnsi" w:eastAsiaTheme="minorHAnsi" w:hAnsiTheme="minorHAnsi"/>
          <w:b/>
          <w:lang w:eastAsia="en-US"/>
        </w:rPr>
      </w:pPr>
      <w:r w:rsidRPr="00105A4E">
        <w:rPr>
          <w:rFonts w:asciiTheme="minorHAnsi" w:eastAsiaTheme="minorHAnsi" w:hAnsiTheme="minorHAnsi"/>
          <w:b/>
          <w:lang w:eastAsia="en-US"/>
        </w:rPr>
        <w:t>Discharge policies</w:t>
      </w:r>
    </w:p>
    <w:p w:rsidR="004B0A83" w:rsidRPr="00105A4E" w:rsidRDefault="004B0A83" w:rsidP="004B0A83">
      <w:pPr>
        <w:spacing w:before="100" w:beforeAutospacing="1" w:after="100" w:afterAutospacing="1"/>
        <w:rPr>
          <w:rFonts w:asciiTheme="minorHAnsi" w:eastAsiaTheme="minorHAnsi" w:hAnsiTheme="minorHAnsi"/>
          <w:lang w:eastAsia="en-US"/>
        </w:rPr>
      </w:pPr>
      <w:r w:rsidRPr="00105A4E">
        <w:rPr>
          <w:rFonts w:asciiTheme="minorHAnsi" w:eastAsiaTheme="minorHAnsi" w:hAnsiTheme="minorHAnsi"/>
          <w:lang w:eastAsia="en-US"/>
        </w:rPr>
        <w:t>Acute and emergency departments should have clear discharge and onward referral for patients.  This includes telephone review and clear pat</w:t>
      </w:r>
      <w:r>
        <w:rPr>
          <w:rFonts w:asciiTheme="minorHAnsi" w:eastAsiaTheme="minorHAnsi" w:hAnsiTheme="minorHAnsi"/>
          <w:lang w:eastAsia="en-US"/>
        </w:rPr>
        <w:t>ient information regarding self-</w:t>
      </w:r>
      <w:r w:rsidRPr="00105A4E">
        <w:rPr>
          <w:rFonts w:asciiTheme="minorHAnsi" w:eastAsiaTheme="minorHAnsi" w:hAnsiTheme="minorHAnsi"/>
          <w:lang w:eastAsia="en-US"/>
        </w:rPr>
        <w:t>management and indications for review.</w:t>
      </w:r>
    </w:p>
    <w:p w:rsidR="004B0A83" w:rsidRDefault="004B0A83" w:rsidP="004B0A83">
      <w:pPr>
        <w:spacing w:after="120" w:line="276" w:lineRule="auto"/>
        <w:rPr>
          <w:rFonts w:asciiTheme="minorHAnsi" w:hAnsiTheme="minorHAnsi" w:cs="Arial"/>
          <w:color w:val="808080" w:themeColor="background1" w:themeShade="80"/>
          <w:sz w:val="28"/>
          <w:szCs w:val="28"/>
        </w:rPr>
      </w:pPr>
    </w:p>
    <w:p w:rsidR="00577B0B" w:rsidRDefault="00577B0B"/>
    <w:sectPr w:rsidR="00577B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A83"/>
    <w:rsid w:val="000147DA"/>
    <w:rsid w:val="002C29F9"/>
    <w:rsid w:val="004B0A83"/>
    <w:rsid w:val="00577B0B"/>
    <w:rsid w:val="00BA007A"/>
    <w:rsid w:val="00E262EE"/>
    <w:rsid w:val="00F267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95F90"/>
  <w15:chartTrackingRefBased/>
  <w15:docId w15:val="{57D84C70-3549-45CF-9685-CAF32495F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4B0A8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0A83"/>
    <w:pPr>
      <w:tabs>
        <w:tab w:val="center" w:pos="4513"/>
        <w:tab w:val="right" w:pos="9026"/>
      </w:tabs>
    </w:pPr>
  </w:style>
  <w:style w:type="character" w:customStyle="1" w:styleId="HeaderChar">
    <w:name w:val="Header Char"/>
    <w:basedOn w:val="DefaultParagraphFont"/>
    <w:link w:val="Header"/>
    <w:rsid w:val="004B0A83"/>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B0A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rcophth.ac.uk/standards-publications-research/the-way-for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179</Words>
  <Characters>1026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outpatient tariffs information for CCG</dc:subject>
  <dc:creator>Liz Price</dc:creator>
  <cp:keywords>tariffs;CCG, outpatients</cp:keywords>
  <dc:description/>
  <cp:lastModifiedBy>Liz Price</cp:lastModifiedBy>
  <cp:revision>2</cp:revision>
  <dcterms:created xsi:type="dcterms:W3CDTF">2017-02-23T08:55:00Z</dcterms:created>
  <dcterms:modified xsi:type="dcterms:W3CDTF">2017-02-23T08:55:00Z</dcterms:modified>
</cp:coreProperties>
</file>